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media/image1.png" ContentType="image/png"/>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rPr>
          <w:rFonts w:ascii="Tahoma" w:hAnsi="Tahoma" w:eastAsia="Times New Roman" w:cs="Times New Roman"/>
          <w:b/>
          <w:b/>
          <w:szCs w:val="24"/>
          <w:lang w:val="es-ES" w:eastAsia="es-ES"/>
        </w:rPr>
      </w:pPr>
      <w:r>
        <w:rPr>
          <w:rFonts w:eastAsia="Times New Roman" w:cs="Times New Roman" w:ascii="Tahoma" w:hAnsi="Tahoma"/>
          <w:b/>
          <w:szCs w:val="24"/>
          <w:lang w:val="es-ES" w:eastAsia="es-ES"/>
        </w:rPr>
      </w:r>
    </w:p>
    <w:p>
      <w:pPr>
        <w:pStyle w:val="Normal"/>
        <w:spacing w:lineRule="auto" w:line="240" w:before="0" w:after="0"/>
        <w:rPr>
          <w:rFonts w:ascii="Tahoma" w:hAnsi="Tahoma" w:eastAsia="Times New Roman" w:cs="Times New Roman"/>
          <w:b/>
          <w:b/>
          <w:szCs w:val="24"/>
          <w:lang w:val="es-ES" w:eastAsia="es-ES"/>
        </w:rPr>
      </w:pPr>
      <w:r>
        <w:rPr>
          <w:rFonts w:eastAsia="Times New Roman" w:cs="Times New Roman" w:ascii="Tahoma" w:hAnsi="Tahoma"/>
          <w:b/>
          <w:szCs w:val="24"/>
          <w:lang w:val="es-ES" w:eastAsia="es-ES"/>
        </w:rPr>
      </w:r>
    </w:p>
    <w:p>
      <w:pPr>
        <w:pStyle w:val="Normal"/>
        <w:keepNext w:val="true"/>
        <w:numPr>
          <w:ilvl w:val="0"/>
          <w:numId w:val="0"/>
        </w:numPr>
        <w:pBdr>
          <w:top w:val="thickThinSmallGap" w:sz="24" w:space="17" w:color="800000"/>
          <w:left w:val="thickThinSmallGap" w:sz="24" w:space="2" w:color="800000"/>
          <w:bottom w:val="thickThinSmallGap" w:sz="24" w:space="0" w:color="800000"/>
          <w:right w:val="thickThinSmallGap" w:sz="24" w:space="0" w:color="800000"/>
        </w:pBdr>
        <w:tabs>
          <w:tab w:val="clear" w:pos="708"/>
          <w:tab w:val="left" w:pos="3945" w:leader="none"/>
        </w:tabs>
        <w:spacing w:lineRule="auto" w:line="240" w:before="0" w:after="0"/>
        <w:ind w:left="0" w:hanging="0"/>
        <w:outlineLvl w:val="1"/>
        <w:rPr>
          <w:rFonts w:ascii="Times New Roman" w:hAnsi="Times New Roman" w:eastAsia="Times New Roman" w:cs="Times New Roman"/>
          <w:b/>
          <w:b/>
          <w:sz w:val="28"/>
          <w:szCs w:val="20"/>
          <w:lang w:val="es-ES" w:eastAsia="es-ES"/>
        </w:rPr>
      </w:pPr>
      <w:r>
        <w:rPr>
          <w:rFonts w:eastAsia="Times New Roman" w:cs="Times New Roman" w:ascii="Times New Roman" w:hAnsi="Times New Roman"/>
          <w:b/>
          <w:sz w:val="28"/>
          <w:szCs w:val="20"/>
          <w:lang w:val="es-ES" w:eastAsia="es-ES"/>
        </w:rPr>
      </w:r>
    </w:p>
    <w:p>
      <w:pPr>
        <w:pStyle w:val="Normal"/>
        <w:keepNext w:val="true"/>
        <w:numPr>
          <w:ilvl w:val="0"/>
          <w:numId w:val="0"/>
        </w:numPr>
        <w:pBdr>
          <w:top w:val="thickThinSmallGap" w:sz="24" w:space="17" w:color="800000"/>
          <w:left w:val="thickThinSmallGap" w:sz="24" w:space="2" w:color="800000"/>
          <w:bottom w:val="thickThinSmallGap" w:sz="24" w:space="0" w:color="800000"/>
          <w:right w:val="thickThinSmallGap" w:sz="24" w:space="0" w:color="800000"/>
        </w:pBdr>
        <w:spacing w:lineRule="auto" w:line="240" w:before="0" w:after="0"/>
        <w:ind w:left="0" w:hanging="0"/>
        <w:jc w:val="center"/>
        <w:outlineLvl w:val="1"/>
        <w:rPr>
          <w:rFonts w:ascii="Elephant" w:hAnsi="Elephant" w:eastAsia="Times New Roman" w:cs="Times New Roman"/>
          <w:sz w:val="28"/>
          <w:szCs w:val="20"/>
          <w:lang w:val="es-ES" w:eastAsia="es-ES"/>
        </w:rPr>
      </w:pPr>
      <w:r>
        <w:rPr>
          <w:rFonts w:eastAsia="Times New Roman" w:cs="Times New Roman" w:ascii="Elephant" w:hAnsi="Elephant"/>
          <w:sz w:val="28"/>
          <w:szCs w:val="20"/>
          <w:lang w:val="es-ES" w:eastAsia="es-ES"/>
        </w:rPr>
      </w:r>
    </w:p>
    <w:p>
      <w:pPr>
        <w:pStyle w:val="Normal"/>
        <w:keepNext w:val="true"/>
        <w:numPr>
          <w:ilvl w:val="0"/>
          <w:numId w:val="0"/>
        </w:numPr>
        <w:pBdr>
          <w:top w:val="thickThinSmallGap" w:sz="24" w:space="17" w:color="800000"/>
          <w:left w:val="thickThinSmallGap" w:sz="24" w:space="2" w:color="800000"/>
          <w:bottom w:val="thickThinSmallGap" w:sz="24" w:space="0" w:color="800000"/>
          <w:right w:val="thickThinSmallGap" w:sz="24" w:space="0" w:color="800000"/>
        </w:pBdr>
        <w:spacing w:lineRule="auto" w:line="240" w:before="0" w:after="0"/>
        <w:ind w:left="0" w:hanging="0"/>
        <w:jc w:val="center"/>
        <w:outlineLvl w:val="1"/>
        <w:rPr>
          <w:rFonts w:ascii="Elephant" w:hAnsi="Elephant" w:eastAsia="Times New Roman" w:cs="Times New Roman"/>
          <w:sz w:val="28"/>
          <w:szCs w:val="20"/>
          <w:lang w:val="es-ES" w:eastAsia="es-ES"/>
        </w:rPr>
      </w:pPr>
      <w:r>
        <w:rPr>
          <w:rFonts w:eastAsia="Times New Roman" w:cs="Times New Roman" w:ascii="Elephant" w:hAnsi="Elephant"/>
          <w:sz w:val="28"/>
          <w:szCs w:val="20"/>
          <w:lang w:val="es-ES" w:eastAsia="es-ES"/>
        </w:rPr>
        <w:t>MUNICIPALIDAD DE LAVALLE</w:t>
      </w:r>
    </w:p>
    <w:p>
      <w:pPr>
        <w:pStyle w:val="Normal"/>
        <w:pBdr>
          <w:top w:val="thickThinSmallGap" w:sz="24" w:space="17" w:color="800000"/>
          <w:left w:val="thickThinSmallGap" w:sz="24" w:space="2" w:color="800000"/>
          <w:bottom w:val="thickThinSmallGap" w:sz="24" w:space="0" w:color="800000"/>
          <w:right w:val="thickThinSmallGap" w:sz="24" w:space="0" w:color="800000"/>
        </w:pBdr>
        <w:spacing w:lineRule="auto" w:line="240" w:before="0" w:after="0"/>
        <w:jc w:val="center"/>
        <w:rPr>
          <w:rFonts w:ascii="Tahoma" w:hAnsi="Tahoma" w:eastAsia="Times New Roman" w:cs="Times New Roman"/>
          <w:b/>
          <w:b/>
          <w:sz w:val="24"/>
          <w:szCs w:val="24"/>
          <w:lang w:val="es-ES" w:eastAsia="es-ES"/>
        </w:rPr>
      </w:pPr>
      <w:r>
        <w:rPr>
          <w:rFonts w:eastAsia="Times New Roman" w:cs="Times New Roman" w:ascii="Tahoma" w:hAnsi="Tahoma"/>
          <w:b/>
          <w:sz w:val="24"/>
          <w:szCs w:val="24"/>
          <w:lang w:val="es-ES" w:eastAsia="es-ES"/>
        </w:rPr>
      </w:r>
    </w:p>
    <w:p>
      <w:pPr>
        <w:pStyle w:val="Normal"/>
        <w:pBdr>
          <w:top w:val="thickThinSmallGap" w:sz="24" w:space="17" w:color="800000"/>
          <w:left w:val="thickThinSmallGap" w:sz="24" w:space="2" w:color="800000"/>
          <w:bottom w:val="thickThinSmallGap" w:sz="24" w:space="0" w:color="800000"/>
          <w:right w:val="thickThinSmallGap" w:sz="24" w:space="0" w:color="800000"/>
        </w:pBdr>
        <w:spacing w:lineRule="auto" w:line="240" w:before="0" w:after="0"/>
        <w:jc w:val="center"/>
        <w:rPr>
          <w:rFonts w:ascii="Tahoma" w:hAnsi="Tahoma" w:eastAsia="Times New Roman" w:cs="Times New Roman"/>
          <w:b/>
          <w:b/>
          <w:sz w:val="24"/>
          <w:szCs w:val="24"/>
          <w:lang w:val="es-ES" w:eastAsia="es-ES"/>
        </w:rPr>
      </w:pPr>
      <w:r>
        <w:rPr>
          <w:rFonts w:eastAsia="Times New Roman" w:cs="Times New Roman" w:ascii="Tahoma" w:hAnsi="Tahoma"/>
          <w:b/>
          <w:sz w:val="24"/>
          <w:szCs w:val="24"/>
          <w:lang w:val="es-ES" w:eastAsia="es-ES"/>
        </w:rPr>
      </w:r>
    </w:p>
    <w:p>
      <w:pPr>
        <w:pStyle w:val="Normal"/>
        <w:keepNext w:val="true"/>
        <w:numPr>
          <w:ilvl w:val="0"/>
          <w:numId w:val="0"/>
        </w:numPr>
        <w:pBdr>
          <w:top w:val="thickThinSmallGap" w:sz="24" w:space="17" w:color="800000"/>
          <w:left w:val="thickThinSmallGap" w:sz="24" w:space="2" w:color="800000"/>
          <w:bottom w:val="thickThinSmallGap" w:sz="24" w:space="0" w:color="800000"/>
          <w:right w:val="thickThinSmallGap" w:sz="24" w:space="0" w:color="800000"/>
        </w:pBdr>
        <w:spacing w:lineRule="auto" w:line="240" w:before="0" w:after="0"/>
        <w:ind w:left="0" w:hanging="0"/>
        <w:jc w:val="center"/>
        <w:outlineLvl w:val="4"/>
        <w:rPr>
          <w:rFonts w:ascii="Elephant" w:hAnsi="Elephant" w:eastAsia="Times New Roman" w:cs="Times New Roman"/>
          <w:sz w:val="24"/>
          <w:szCs w:val="20"/>
          <w:lang w:val="es-ES" w:eastAsia="es-ES"/>
        </w:rPr>
      </w:pPr>
      <w:r>
        <w:rPr>
          <w:rFonts w:eastAsia="Times New Roman" w:cs="Times New Roman" w:ascii="Elephant" w:hAnsi="Elephant"/>
          <w:sz w:val="24"/>
          <w:szCs w:val="20"/>
          <w:lang w:val="es-ES" w:eastAsia="es-ES"/>
        </w:rPr>
        <w:t>COMPRA DIRECTA</w:t>
      </w:r>
    </w:p>
    <w:p>
      <w:pPr>
        <w:pStyle w:val="Normal"/>
        <w:pBdr>
          <w:top w:val="thickThinSmallGap" w:sz="24" w:space="17" w:color="800000"/>
          <w:left w:val="thickThinSmallGap" w:sz="24" w:space="2" w:color="800000"/>
          <w:bottom w:val="thickThinSmallGap" w:sz="24" w:space="0" w:color="800000"/>
          <w:right w:val="thickThinSmallGap" w:sz="24" w:space="0" w:color="800000"/>
        </w:pBdr>
        <w:spacing w:lineRule="auto" w:line="240" w:before="0" w:after="0"/>
        <w:jc w:val="center"/>
        <w:rPr>
          <w:rFonts w:ascii="Tahoma" w:hAnsi="Tahoma" w:eastAsia="Times New Roman" w:cs="Times New Roman"/>
          <w:b/>
          <w:b/>
          <w:sz w:val="24"/>
          <w:szCs w:val="24"/>
          <w:lang w:val="es-ES" w:eastAsia="es-ES"/>
        </w:rPr>
      </w:pPr>
      <w:r>
        <w:rPr>
          <w:rFonts w:eastAsia="Times New Roman" w:cs="Times New Roman" w:ascii="Tahoma" w:hAnsi="Tahoma"/>
          <w:b/>
          <w:sz w:val="24"/>
          <w:szCs w:val="24"/>
          <w:lang w:val="es-ES" w:eastAsia="es-ES"/>
        </w:rPr>
      </w:r>
    </w:p>
    <w:p>
      <w:pPr>
        <w:pStyle w:val="Normal"/>
        <w:pBdr>
          <w:top w:val="thickThinSmallGap" w:sz="24" w:space="17" w:color="800000"/>
          <w:left w:val="thickThinSmallGap" w:sz="24" w:space="2" w:color="800000"/>
          <w:bottom w:val="thickThinSmallGap" w:sz="24" w:space="0" w:color="800000"/>
          <w:right w:val="thickThinSmallGap" w:sz="24" w:space="0" w:color="800000"/>
        </w:pBdr>
        <w:spacing w:lineRule="auto" w:line="240" w:before="0" w:after="0"/>
        <w:jc w:val="center"/>
        <w:rPr>
          <w:rFonts w:ascii="Tahoma" w:hAnsi="Tahoma" w:eastAsia="Times New Roman" w:cs="Times New Roman"/>
          <w:b/>
          <w:b/>
          <w:sz w:val="24"/>
          <w:szCs w:val="24"/>
          <w:lang w:val="es-ES" w:eastAsia="es-ES"/>
        </w:rPr>
      </w:pPr>
      <w:r>
        <w:rPr>
          <w:rFonts w:eastAsia="Times New Roman" w:cs="Times New Roman" w:ascii="Tahoma" w:hAnsi="Tahoma"/>
          <w:b/>
          <w:sz w:val="24"/>
          <w:szCs w:val="24"/>
          <w:lang w:val="es-ES" w:eastAsia="es-ES"/>
        </w:rPr>
      </w:r>
    </w:p>
    <w:p>
      <w:pPr>
        <w:pStyle w:val="Normal"/>
        <w:pBdr>
          <w:top w:val="thickThinSmallGap" w:sz="24" w:space="17" w:color="800000"/>
          <w:left w:val="thickThinSmallGap" w:sz="24" w:space="2" w:color="800000"/>
          <w:bottom w:val="thickThinSmallGap" w:sz="24" w:space="0" w:color="800000"/>
          <w:right w:val="thickThinSmallGap" w:sz="24" w:space="0" w:color="800000"/>
        </w:pBdr>
        <w:spacing w:lineRule="auto" w:line="240" w:before="0" w:after="0"/>
        <w:jc w:val="center"/>
        <w:rPr>
          <w:rFonts w:ascii="Times New Roman" w:hAnsi="Times New Roman" w:eastAsia="Times New Roman" w:cs="Times New Roman"/>
          <w:sz w:val="26"/>
          <w:szCs w:val="26"/>
          <w:lang w:val="es-ES" w:eastAsia="es-ES"/>
        </w:rPr>
      </w:pPr>
      <w:r>
        <w:rPr>
          <w:rFonts w:eastAsia="Times New Roman" w:cs="Times New Roman" w:ascii="Times New Roman" w:hAnsi="Times New Roman"/>
          <w:sz w:val="26"/>
          <w:szCs w:val="26"/>
          <w:lang w:val="es-ES" w:eastAsia="es-ES"/>
        </w:rPr>
        <w:t>EXPTE. N.º 429</w:t>
      </w:r>
      <w:r>
        <w:rPr>
          <w:rFonts w:eastAsia="Times New Roman" w:cs="Times New Roman" w:ascii="Times New Roman" w:hAnsi="Times New Roman"/>
          <w:sz w:val="26"/>
          <w:szCs w:val="26"/>
          <w:lang w:val="es-ES" w:eastAsia="es-ES"/>
        </w:rPr>
        <w:t>1</w:t>
      </w:r>
      <w:r>
        <w:rPr>
          <w:rFonts w:eastAsia="Times New Roman" w:cs="Times New Roman" w:ascii="Times New Roman" w:hAnsi="Times New Roman"/>
          <w:sz w:val="26"/>
          <w:szCs w:val="26"/>
          <w:lang w:val="es-ES" w:eastAsia="es-ES"/>
        </w:rPr>
        <w:t xml:space="preserve">/2026  -    RESOLUCIÓN Nº </w:t>
      </w:r>
      <w:r>
        <w:rPr>
          <w:rFonts w:eastAsia="Times New Roman" w:cs="Times New Roman" w:ascii="Times New Roman" w:hAnsi="Times New Roman"/>
          <w:sz w:val="26"/>
          <w:szCs w:val="26"/>
          <w:lang w:val="es-ES" w:eastAsia="es-ES"/>
        </w:rPr>
        <w:t>655</w:t>
      </w:r>
      <w:r>
        <w:rPr>
          <w:rFonts w:eastAsia="Times New Roman" w:cs="Times New Roman" w:ascii="Times New Roman" w:hAnsi="Times New Roman"/>
          <w:sz w:val="26"/>
          <w:szCs w:val="26"/>
          <w:lang w:val="es-ES" w:eastAsia="es-ES"/>
        </w:rPr>
        <w:t>/26</w:t>
      </w:r>
    </w:p>
    <w:p>
      <w:pPr>
        <w:pStyle w:val="Normal"/>
        <w:pBdr>
          <w:top w:val="thickThinSmallGap" w:sz="24" w:space="17" w:color="800000"/>
          <w:left w:val="thickThinSmallGap" w:sz="24" w:space="2" w:color="800000"/>
          <w:bottom w:val="thickThinSmallGap" w:sz="24" w:space="0" w:color="800000"/>
          <w:right w:val="thickThinSmallGap" w:sz="24" w:space="0" w:color="800000"/>
        </w:pBdr>
        <w:spacing w:lineRule="auto" w:line="240" w:before="0" w:after="0"/>
        <w:jc w:val="center"/>
        <w:rPr>
          <w:rFonts w:ascii="Tahoma" w:hAnsi="Tahoma" w:eastAsia="Times New Roman" w:cs="Times New Roman"/>
          <w:b/>
          <w:b/>
          <w:sz w:val="24"/>
          <w:szCs w:val="24"/>
          <w:lang w:val="es-ES" w:eastAsia="es-ES"/>
        </w:rPr>
      </w:pPr>
      <w:r>
        <w:rPr>
          <w:rFonts w:eastAsia="Times New Roman" w:cs="Times New Roman" w:ascii="Tahoma" w:hAnsi="Tahoma"/>
          <w:b/>
          <w:sz w:val="24"/>
          <w:szCs w:val="24"/>
          <w:lang w:val="es-ES" w:eastAsia="es-ES"/>
        </w:rPr>
      </w:r>
    </w:p>
    <w:p>
      <w:pPr>
        <w:pStyle w:val="Normal"/>
        <w:pBdr>
          <w:top w:val="thickThinSmallGap" w:sz="24" w:space="17" w:color="800000"/>
          <w:left w:val="thickThinSmallGap" w:sz="24" w:space="2" w:color="800000"/>
          <w:bottom w:val="thickThinSmallGap" w:sz="24" w:space="0" w:color="800000"/>
          <w:right w:val="thickThinSmallGap" w:sz="24" w:space="0" w:color="800000"/>
        </w:pBdr>
        <w:spacing w:lineRule="auto" w:line="240" w:before="0" w:after="0"/>
        <w:jc w:val="center"/>
        <w:rPr>
          <w:rFonts w:ascii="Tahoma" w:hAnsi="Tahoma" w:eastAsia="Times New Roman" w:cs="Times New Roman"/>
          <w:b/>
          <w:b/>
          <w:sz w:val="24"/>
          <w:szCs w:val="24"/>
          <w:lang w:val="es-ES" w:eastAsia="es-ES"/>
        </w:rPr>
      </w:pPr>
      <w:r>
        <w:rPr>
          <w:rFonts w:eastAsia="Times New Roman" w:cs="Times New Roman" w:ascii="Tahoma" w:hAnsi="Tahoma"/>
          <w:b/>
          <w:sz w:val="24"/>
          <w:szCs w:val="24"/>
          <w:lang w:val="es-ES" w:eastAsia="es-ES"/>
        </w:rPr>
      </w:r>
    </w:p>
    <w:p>
      <w:pPr>
        <w:pStyle w:val="Normal"/>
        <w:pBdr>
          <w:top w:val="thickThinSmallGap" w:sz="24" w:space="17" w:color="800000"/>
          <w:left w:val="thickThinSmallGap" w:sz="24" w:space="2" w:color="800000"/>
          <w:bottom w:val="thickThinSmallGap" w:sz="24" w:space="0" w:color="800000"/>
          <w:right w:val="thickThinSmallGap" w:sz="24" w:space="0" w:color="800000"/>
        </w:pBdr>
        <w:spacing w:lineRule="auto" w:line="240" w:before="0" w:after="0"/>
        <w:jc w:val="center"/>
        <w:rPr>
          <w:rFonts w:ascii="Tahoma" w:hAnsi="Tahoma" w:eastAsia="Times New Roman" w:cs="Times New Roman"/>
          <w:b/>
          <w:b/>
          <w:sz w:val="24"/>
          <w:szCs w:val="24"/>
          <w:lang w:val="es-ES" w:eastAsia="es-ES"/>
        </w:rPr>
      </w:pPr>
      <w:r>
        <w:rPr>
          <w:rFonts w:eastAsia="Times New Roman" w:cs="Times New Roman" w:ascii="Elephant" w:hAnsi="Elephant"/>
          <w:sz w:val="24"/>
          <w:szCs w:val="24"/>
          <w:lang w:val="es-ES" w:eastAsia="es-ES"/>
        </w:rPr>
        <w:t xml:space="preserve">OBJETO: </w:t>
      </w:r>
      <w:r>
        <w:rPr>
          <w:rFonts w:eastAsia="Times New Roman" w:cs="Times New Roman" w:ascii="Times New Roman" w:hAnsi="Times New Roman"/>
          <w:sz w:val="24"/>
          <w:szCs w:val="24"/>
          <w:lang w:val="es-ES" w:eastAsia="es-ES"/>
        </w:rPr>
        <w:t>CONTRATACIÓN DE SEGURO DE RESPONSABILIDAD CIVIL DE ESPACIOS PUBLICOS, POR EL TÉRMINO DE DOCE (12) MESES</w:t>
      </w:r>
    </w:p>
    <w:p>
      <w:pPr>
        <w:pStyle w:val="Normal"/>
        <w:pBdr>
          <w:top w:val="thickThinSmallGap" w:sz="24" w:space="17" w:color="800000"/>
          <w:left w:val="thickThinSmallGap" w:sz="24" w:space="2" w:color="800000"/>
          <w:bottom w:val="thickThinSmallGap" w:sz="24" w:space="0" w:color="800000"/>
          <w:right w:val="thickThinSmallGap" w:sz="24" w:space="0" w:color="800000"/>
        </w:pBdr>
        <w:spacing w:lineRule="auto" w:line="240" w:before="0" w:after="0"/>
        <w:jc w:val="center"/>
        <w:rPr>
          <w:rFonts w:ascii="Tahoma" w:hAnsi="Tahoma" w:eastAsia="Times New Roman" w:cs="Times New Roman"/>
          <w:b/>
          <w:b/>
          <w:sz w:val="24"/>
          <w:szCs w:val="24"/>
          <w:lang w:val="es-ES" w:eastAsia="es-ES"/>
        </w:rPr>
      </w:pPr>
      <w:r>
        <w:rPr>
          <w:rFonts w:eastAsia="Times New Roman" w:cs="Times New Roman" w:ascii="Tahoma" w:hAnsi="Tahoma"/>
          <w:b/>
          <w:sz w:val="24"/>
          <w:szCs w:val="24"/>
          <w:lang w:val="es-ES" w:eastAsia="es-ES"/>
        </w:rPr>
      </w:r>
    </w:p>
    <w:p>
      <w:pPr>
        <w:pStyle w:val="Normal"/>
        <w:pBdr>
          <w:top w:val="thickThinSmallGap" w:sz="24" w:space="17" w:color="800000"/>
          <w:left w:val="thickThinSmallGap" w:sz="24" w:space="2" w:color="800000"/>
          <w:bottom w:val="thickThinSmallGap" w:sz="24" w:space="0" w:color="800000"/>
          <w:right w:val="thickThinSmallGap" w:sz="24" w:space="0" w:color="800000"/>
        </w:pBdr>
        <w:spacing w:lineRule="auto" w:line="240" w:before="0" w:after="0"/>
        <w:jc w:val="center"/>
        <w:rPr>
          <w:rFonts w:ascii="Tahoma" w:hAnsi="Tahoma" w:eastAsia="Times New Roman" w:cs="Times New Roman"/>
          <w:b/>
          <w:b/>
          <w:sz w:val="24"/>
          <w:szCs w:val="24"/>
          <w:lang w:val="es-ES" w:eastAsia="es-ES"/>
        </w:rPr>
      </w:pPr>
      <w:r>
        <w:rPr>
          <w:rFonts w:eastAsia="Times New Roman" w:cs="Times New Roman" w:ascii="Tahoma" w:hAnsi="Tahoma"/>
          <w:b/>
          <w:sz w:val="24"/>
          <w:szCs w:val="24"/>
          <w:lang w:val="es-ES" w:eastAsia="es-ES"/>
        </w:rPr>
      </w:r>
    </w:p>
    <w:p>
      <w:pPr>
        <w:pStyle w:val="Normal"/>
        <w:pBdr>
          <w:top w:val="thickThinSmallGap" w:sz="24" w:space="17" w:color="800000"/>
          <w:left w:val="thickThinSmallGap" w:sz="24" w:space="2" w:color="800000"/>
          <w:bottom w:val="thickThinSmallGap" w:sz="24" w:space="0" w:color="800000"/>
          <w:right w:val="thickThinSmallGap" w:sz="24" w:space="0" w:color="800000"/>
        </w:pBdr>
        <w:spacing w:lineRule="auto" w:line="240" w:before="0" w:after="0"/>
        <w:jc w:val="center"/>
        <w:rPr>
          <w:rFonts w:ascii="Tahoma" w:hAnsi="Tahoma" w:eastAsia="Times New Roman" w:cs="Times New Roman"/>
          <w:b/>
          <w:b/>
          <w:sz w:val="24"/>
          <w:szCs w:val="24"/>
          <w:lang w:val="es-ES" w:eastAsia="es-ES"/>
        </w:rPr>
      </w:pPr>
      <w:r>
        <w:rPr>
          <w:rFonts w:eastAsia="Times New Roman" w:cs="Times New Roman" w:ascii="Elephant" w:hAnsi="Elephant"/>
          <w:sz w:val="24"/>
          <w:szCs w:val="24"/>
          <w:lang w:val="es-ES" w:eastAsia="es-ES"/>
        </w:rPr>
        <w:t xml:space="preserve">FECHA DE APERTURA: </w:t>
      </w:r>
      <w:r>
        <w:rPr>
          <w:rFonts w:eastAsia="Times New Roman" w:cs="Times New Roman" w:ascii="Elephant" w:hAnsi="Elephant"/>
          <w:sz w:val="24"/>
          <w:szCs w:val="24"/>
          <w:lang w:val="es-ES" w:eastAsia="es-ES"/>
        </w:rPr>
        <w:t>1</w:t>
      </w:r>
      <w:r>
        <w:rPr>
          <w:rFonts w:eastAsia="Times New Roman" w:cs="Times New Roman" w:ascii="Elephant" w:hAnsi="Elephant"/>
          <w:sz w:val="24"/>
          <w:szCs w:val="24"/>
          <w:lang w:val="es-ES" w:eastAsia="es-ES"/>
        </w:rPr>
        <w:t xml:space="preserve">7 </w:t>
      </w:r>
      <w:r>
        <w:rPr>
          <w:rFonts w:eastAsia="Times New Roman" w:cs="Times New Roman" w:ascii="Times New Roman" w:hAnsi="Times New Roman"/>
          <w:sz w:val="24"/>
          <w:szCs w:val="24"/>
          <w:lang w:val="es-ES" w:eastAsia="es-ES"/>
        </w:rPr>
        <w:t>DE JUNIO  DE 2.026 A LAS 1</w:t>
      </w:r>
      <w:r>
        <w:rPr>
          <w:rFonts w:eastAsia="Times New Roman" w:cs="Times New Roman" w:ascii="Times New Roman" w:hAnsi="Times New Roman"/>
          <w:sz w:val="24"/>
          <w:szCs w:val="24"/>
          <w:lang w:val="es-ES" w:eastAsia="es-ES"/>
        </w:rPr>
        <w:t>0</w:t>
      </w:r>
      <w:r>
        <w:rPr>
          <w:rFonts w:eastAsia="Times New Roman" w:cs="Times New Roman" w:ascii="Times New Roman" w:hAnsi="Times New Roman"/>
          <w:sz w:val="24"/>
          <w:szCs w:val="24"/>
          <w:lang w:val="es-ES" w:eastAsia="es-ES"/>
        </w:rPr>
        <w:t>:00 HORAS</w:t>
      </w:r>
    </w:p>
    <w:p>
      <w:pPr>
        <w:pStyle w:val="Normal"/>
        <w:pBdr>
          <w:top w:val="thickThinSmallGap" w:sz="24" w:space="17" w:color="800000"/>
          <w:left w:val="thickThinSmallGap" w:sz="24" w:space="2" w:color="800000"/>
          <w:bottom w:val="thickThinSmallGap" w:sz="24" w:space="0" w:color="800000"/>
          <w:right w:val="thickThinSmallGap" w:sz="24" w:space="0" w:color="800000"/>
        </w:pBdr>
        <w:spacing w:lineRule="auto" w:line="240" w:before="0" w:after="0"/>
        <w:jc w:val="center"/>
        <w:rPr>
          <w:rFonts w:ascii="Tahoma" w:hAnsi="Tahoma" w:eastAsia="Times New Roman" w:cs="Times New Roman"/>
          <w:b/>
          <w:b/>
          <w:sz w:val="24"/>
          <w:szCs w:val="24"/>
          <w:lang w:val="es-ES" w:eastAsia="es-ES"/>
        </w:rPr>
      </w:pPr>
      <w:r>
        <w:rPr>
          <w:rFonts w:eastAsia="Times New Roman" w:cs="Times New Roman" w:ascii="Tahoma" w:hAnsi="Tahoma"/>
          <w:b/>
          <w:sz w:val="24"/>
          <w:szCs w:val="24"/>
          <w:lang w:val="es-ES" w:eastAsia="es-ES"/>
        </w:rPr>
      </w:r>
    </w:p>
    <w:p>
      <w:pPr>
        <w:pStyle w:val="Normal"/>
        <w:pBdr>
          <w:top w:val="thickThinSmallGap" w:sz="24" w:space="17" w:color="800000"/>
          <w:left w:val="thickThinSmallGap" w:sz="24" w:space="2" w:color="800000"/>
          <w:bottom w:val="thickThinSmallGap" w:sz="24" w:space="0" w:color="800000"/>
          <w:right w:val="thickThinSmallGap" w:sz="24" w:space="0" w:color="800000"/>
        </w:pBdr>
        <w:spacing w:lineRule="auto" w:line="240" w:before="0" w:after="0"/>
        <w:jc w:val="center"/>
        <w:rPr>
          <w:rFonts w:ascii="Times New Roman" w:hAnsi="Times New Roman" w:eastAsia="Times New Roman" w:cs="Times New Roman"/>
          <w:caps/>
          <w:sz w:val="24"/>
          <w:szCs w:val="24"/>
          <w:lang w:val="es-ES" w:eastAsia="es-ES"/>
        </w:rPr>
      </w:pPr>
      <w:r>
        <w:rPr>
          <w:rFonts w:eastAsia="Times New Roman" w:cs="Times New Roman" w:ascii="Times New Roman" w:hAnsi="Times New Roman"/>
          <w:caps/>
          <w:sz w:val="24"/>
          <w:szCs w:val="24"/>
          <w:lang w:val="es-ES" w:eastAsia="es-ES"/>
        </w:rPr>
      </w:r>
    </w:p>
    <w:p>
      <w:pPr>
        <w:pStyle w:val="Normal"/>
        <w:pBdr>
          <w:top w:val="thickThinSmallGap" w:sz="24" w:space="17" w:color="800000"/>
          <w:left w:val="thickThinSmallGap" w:sz="24" w:space="2" w:color="800000"/>
          <w:bottom w:val="thickThinSmallGap" w:sz="24" w:space="0" w:color="800000"/>
          <w:right w:val="thickThinSmallGap" w:sz="24" w:space="0" w:color="800000"/>
        </w:pBdr>
        <w:spacing w:lineRule="auto" w:line="240" w:before="0" w:after="0"/>
        <w:jc w:val="center"/>
        <w:rPr>
          <w:rFonts w:ascii="Times New Roman" w:hAnsi="Times New Roman" w:eastAsia="Times New Roman" w:cs="Times New Roman"/>
          <w:sz w:val="24"/>
          <w:szCs w:val="24"/>
          <w:lang w:val="es-ES" w:eastAsia="es-ES"/>
        </w:rPr>
      </w:pPr>
      <w:r>
        <w:rPr>
          <w:rFonts w:eastAsia="Times New Roman" w:cs="Times New Roman" w:ascii="Elephant" w:hAnsi="Elephant"/>
          <w:sz w:val="24"/>
          <w:szCs w:val="24"/>
          <w:lang w:val="es-ES" w:eastAsia="es-ES"/>
        </w:rPr>
        <w:t xml:space="preserve">PRESUPUESTO OFICIAL: </w:t>
      </w:r>
      <w:r>
        <w:rPr>
          <w:rFonts w:eastAsia="Times New Roman" w:cs="Times New Roman" w:ascii="Times New Roman" w:hAnsi="Times New Roman"/>
          <w:sz w:val="24"/>
          <w:szCs w:val="24"/>
          <w:lang w:val="es-ES" w:eastAsia="es-ES"/>
        </w:rPr>
        <w:t>$ 4.858.716,00</w:t>
      </w:r>
    </w:p>
    <w:p>
      <w:pPr>
        <w:pStyle w:val="Normal"/>
        <w:pBdr>
          <w:top w:val="thickThinSmallGap" w:sz="24" w:space="17" w:color="800000"/>
          <w:left w:val="thickThinSmallGap" w:sz="24" w:space="2" w:color="800000"/>
          <w:bottom w:val="thickThinSmallGap" w:sz="24" w:space="0" w:color="800000"/>
          <w:right w:val="thickThinSmallGap" w:sz="24" w:space="0" w:color="800000"/>
        </w:pBdr>
        <w:spacing w:lineRule="auto" w:line="240" w:before="0" w:after="0"/>
        <w:jc w:val="center"/>
        <w:rPr>
          <w:rFonts w:ascii="Tahoma" w:hAnsi="Tahoma" w:eastAsia="Times New Roman" w:cs="Times New Roman"/>
          <w:b/>
          <w:b/>
          <w:sz w:val="24"/>
          <w:szCs w:val="24"/>
          <w:lang w:val="es-ES" w:eastAsia="es-ES"/>
        </w:rPr>
      </w:pPr>
      <w:r>
        <w:rPr>
          <w:rFonts w:eastAsia="Times New Roman" w:cs="Times New Roman" w:ascii="Tahoma" w:hAnsi="Tahoma"/>
          <w:b/>
          <w:sz w:val="24"/>
          <w:szCs w:val="24"/>
          <w:lang w:val="es-ES" w:eastAsia="es-ES"/>
        </w:rPr>
      </w:r>
    </w:p>
    <w:p>
      <w:pPr>
        <w:pStyle w:val="Normal"/>
        <w:pBdr>
          <w:top w:val="thickThinSmallGap" w:sz="24" w:space="17" w:color="800000"/>
          <w:left w:val="thickThinSmallGap" w:sz="24" w:space="2" w:color="800000"/>
          <w:bottom w:val="thickThinSmallGap" w:sz="24" w:space="0" w:color="800000"/>
          <w:right w:val="thickThinSmallGap" w:sz="24" w:space="0" w:color="800000"/>
        </w:pBdr>
        <w:spacing w:lineRule="auto" w:line="240" w:before="0" w:after="0"/>
        <w:jc w:val="center"/>
        <w:rPr>
          <w:rFonts w:ascii="Tahoma" w:hAnsi="Tahoma" w:eastAsia="Times New Roman" w:cs="Times New Roman"/>
          <w:b/>
          <w:b/>
          <w:sz w:val="24"/>
          <w:szCs w:val="24"/>
          <w:lang w:val="es-ES" w:eastAsia="es-ES"/>
        </w:rPr>
      </w:pPr>
      <w:r>
        <w:rPr>
          <w:rFonts w:eastAsia="Times New Roman" w:cs="Times New Roman" w:ascii="Tahoma" w:hAnsi="Tahoma"/>
          <w:b/>
          <w:sz w:val="24"/>
          <w:szCs w:val="24"/>
          <w:lang w:val="es-ES" w:eastAsia="es-ES"/>
        </w:rPr>
      </w:r>
    </w:p>
    <w:p>
      <w:pPr>
        <w:pStyle w:val="Normal"/>
        <w:pBdr>
          <w:top w:val="thickThinSmallGap" w:sz="24" w:space="17" w:color="800000"/>
          <w:left w:val="thickThinSmallGap" w:sz="24" w:space="2" w:color="800000"/>
          <w:bottom w:val="thickThinSmallGap" w:sz="24" w:space="0" w:color="800000"/>
          <w:right w:val="thickThinSmallGap" w:sz="24" w:space="0" w:color="800000"/>
        </w:pBdr>
        <w:spacing w:lineRule="auto" w:line="240" w:before="0" w:after="0"/>
        <w:jc w:val="center"/>
        <w:rPr>
          <w:rFonts w:ascii="Times New Roman" w:hAnsi="Times New Roman" w:eastAsia="Times New Roman" w:cs="Times New Roman"/>
          <w:sz w:val="24"/>
          <w:szCs w:val="24"/>
          <w:lang w:val="es-ES" w:eastAsia="es-ES"/>
        </w:rPr>
      </w:pPr>
      <w:r>
        <w:rPr>
          <w:rFonts w:eastAsia="Times New Roman" w:cs="Times New Roman" w:ascii="Elephant" w:hAnsi="Elephant"/>
          <w:sz w:val="24"/>
          <w:szCs w:val="24"/>
          <w:lang w:val="es-ES" w:eastAsia="es-ES"/>
        </w:rPr>
        <w:t xml:space="preserve">LUGAR: </w:t>
      </w:r>
      <w:r>
        <w:rPr>
          <w:rFonts w:eastAsia="Times New Roman" w:cs="Times New Roman" w:ascii="Times New Roman" w:hAnsi="Times New Roman"/>
          <w:sz w:val="24"/>
          <w:szCs w:val="24"/>
          <w:lang w:val="es-ES" w:eastAsia="es-ES"/>
        </w:rPr>
        <w:t>OFICINA DE LICITACIONES</w:t>
      </w:r>
    </w:p>
    <w:p>
      <w:pPr>
        <w:pStyle w:val="Normal"/>
        <w:pBdr>
          <w:top w:val="thickThinSmallGap" w:sz="24" w:space="17" w:color="800000"/>
          <w:left w:val="thickThinSmallGap" w:sz="24" w:space="2" w:color="800000"/>
          <w:bottom w:val="thickThinSmallGap" w:sz="24" w:space="0" w:color="800000"/>
          <w:right w:val="thickThinSmallGap" w:sz="24" w:space="0" w:color="800000"/>
        </w:pBdr>
        <w:spacing w:lineRule="auto" w:line="240" w:before="0" w:after="0"/>
        <w:jc w:val="center"/>
        <w:rPr>
          <w:rFonts w:ascii="Times New Roman" w:hAnsi="Times New Roman" w:eastAsia="Times New Roman" w:cs="Times New Roman"/>
          <w:sz w:val="24"/>
          <w:szCs w:val="24"/>
          <w:lang w:val="es-ES" w:eastAsia="es-ES"/>
        </w:rPr>
      </w:pPr>
      <w:r>
        <w:rPr>
          <w:rFonts w:eastAsia="Times New Roman" w:cs="Times New Roman" w:ascii="Times New Roman" w:hAnsi="Times New Roman"/>
          <w:sz w:val="24"/>
          <w:szCs w:val="24"/>
          <w:lang w:val="es-ES" w:eastAsia="es-ES"/>
        </w:rPr>
        <w:t xml:space="preserve"> </w:t>
      </w:r>
      <w:r>
        <w:rPr>
          <w:rFonts w:eastAsia="Times New Roman" w:cs="Times New Roman" w:ascii="Times New Roman" w:hAnsi="Times New Roman"/>
          <w:sz w:val="24"/>
          <w:szCs w:val="24"/>
          <w:lang w:val="es-ES" w:eastAsia="es-ES"/>
        </w:rPr>
        <w:t>MUNICIPALIDAD DE LAVALLE</w:t>
      </w:r>
    </w:p>
    <w:p>
      <w:pPr>
        <w:pStyle w:val="Normal"/>
        <w:pBdr>
          <w:top w:val="thickThinSmallGap" w:sz="24" w:space="17" w:color="800000"/>
          <w:left w:val="thickThinSmallGap" w:sz="24" w:space="2" w:color="800000"/>
          <w:bottom w:val="thickThinSmallGap" w:sz="24" w:space="0" w:color="800000"/>
          <w:right w:val="thickThinSmallGap" w:sz="24" w:space="0" w:color="800000"/>
        </w:pBdr>
        <w:spacing w:lineRule="auto" w:line="240" w:before="0" w:after="0"/>
        <w:jc w:val="center"/>
        <w:rPr>
          <w:rFonts w:ascii="Times New Roman" w:hAnsi="Times New Roman" w:eastAsia="Times New Roman" w:cs="Times New Roman"/>
          <w:sz w:val="24"/>
          <w:szCs w:val="24"/>
          <w:lang w:val="es-ES" w:eastAsia="es-ES"/>
        </w:rPr>
      </w:pPr>
      <w:r>
        <w:rPr>
          <w:rFonts w:eastAsia="Times New Roman" w:cs="Times New Roman" w:ascii="Times New Roman" w:hAnsi="Times New Roman"/>
          <w:sz w:val="24"/>
          <w:szCs w:val="24"/>
          <w:lang w:val="es-ES" w:eastAsia="es-ES"/>
        </w:rPr>
        <w:t xml:space="preserve">BELTRAN 37, 1º PISO – </w:t>
      </w:r>
    </w:p>
    <w:p>
      <w:pPr>
        <w:pStyle w:val="Normal"/>
        <w:pBdr>
          <w:top w:val="thickThinSmallGap" w:sz="24" w:space="17" w:color="800000"/>
          <w:left w:val="thickThinSmallGap" w:sz="24" w:space="2" w:color="800000"/>
          <w:bottom w:val="thickThinSmallGap" w:sz="24" w:space="0" w:color="800000"/>
          <w:right w:val="thickThinSmallGap" w:sz="24" w:space="0" w:color="800000"/>
        </w:pBdr>
        <w:spacing w:lineRule="auto" w:line="240" w:before="0" w:after="0"/>
        <w:jc w:val="center"/>
        <w:rPr>
          <w:rFonts w:ascii="Times New Roman" w:hAnsi="Times New Roman" w:eastAsia="Times New Roman" w:cs="Times New Roman"/>
          <w:sz w:val="24"/>
          <w:szCs w:val="24"/>
          <w:lang w:val="es-ES" w:eastAsia="es-ES"/>
        </w:rPr>
      </w:pPr>
      <w:r>
        <w:rPr>
          <w:rFonts w:eastAsia="Times New Roman" w:cs="Times New Roman" w:ascii="Times New Roman" w:hAnsi="Times New Roman"/>
          <w:sz w:val="24"/>
          <w:szCs w:val="24"/>
          <w:lang w:val="es-ES" w:eastAsia="es-ES"/>
        </w:rPr>
        <w:t>VILLA TULUMAYA (LAVALLE)</w:t>
      </w:r>
    </w:p>
    <w:p>
      <w:pPr>
        <w:pStyle w:val="Normal"/>
        <w:pBdr>
          <w:top w:val="thickThinSmallGap" w:sz="24" w:space="17" w:color="800000"/>
          <w:left w:val="thickThinSmallGap" w:sz="24" w:space="2" w:color="800000"/>
          <w:bottom w:val="thickThinSmallGap" w:sz="24" w:space="0" w:color="800000"/>
          <w:right w:val="thickThinSmallGap" w:sz="24" w:space="0" w:color="800000"/>
        </w:pBdr>
        <w:spacing w:lineRule="auto" w:line="240" w:before="0" w:after="0"/>
        <w:jc w:val="center"/>
        <w:rPr>
          <w:rFonts w:ascii="Times New Roman" w:hAnsi="Times New Roman" w:eastAsia="Times New Roman" w:cs="Times New Roman"/>
          <w:sz w:val="24"/>
          <w:szCs w:val="24"/>
          <w:lang w:val="es-ES" w:eastAsia="es-ES"/>
        </w:rPr>
      </w:pPr>
      <w:hyperlink r:id="rId2">
        <w:r>
          <w:rPr>
            <w:rStyle w:val="EnlacedeInternet"/>
            <w:rFonts w:eastAsia="Times New Roman" w:cs="Times New Roman" w:ascii="Times New Roman" w:hAnsi="Times New Roman"/>
            <w:sz w:val="24"/>
            <w:szCs w:val="24"/>
            <w:lang w:val="es-ES" w:eastAsia="es-ES"/>
          </w:rPr>
          <w:t>compras@lavallemendoza.gob.ar</w:t>
        </w:r>
      </w:hyperlink>
      <w:r>
        <w:rPr>
          <w:rFonts w:eastAsia="Times New Roman" w:cs="Times New Roman" w:ascii="Times New Roman" w:hAnsi="Times New Roman"/>
          <w:sz w:val="24"/>
          <w:szCs w:val="24"/>
          <w:lang w:val="es-ES" w:eastAsia="es-ES"/>
        </w:rPr>
        <w:t xml:space="preserve"> </w:t>
      </w:r>
    </w:p>
    <w:p>
      <w:pPr>
        <w:pStyle w:val="Normal"/>
        <w:pBdr>
          <w:top w:val="thickThinSmallGap" w:sz="24" w:space="17" w:color="800000"/>
          <w:left w:val="thickThinSmallGap" w:sz="24" w:space="2" w:color="800000"/>
          <w:bottom w:val="thickThinSmallGap" w:sz="24" w:space="0" w:color="800000"/>
          <w:right w:val="thickThinSmallGap" w:sz="24" w:space="0" w:color="800000"/>
        </w:pBdr>
        <w:spacing w:lineRule="auto" w:line="240" w:before="0" w:after="0"/>
        <w:jc w:val="center"/>
        <w:rPr>
          <w:rFonts w:ascii="Tahoma" w:hAnsi="Tahoma" w:eastAsia="Times New Roman" w:cs="Times New Roman"/>
          <w:b w:val="false"/>
          <w:b w:val="false"/>
          <w:bCs w:val="false"/>
          <w:sz w:val="24"/>
          <w:szCs w:val="24"/>
          <w:lang w:val="es-ES" w:eastAsia="es-ES"/>
        </w:rPr>
      </w:pPr>
      <w:r>
        <w:rPr>
          <w:rFonts w:eastAsia="Times New Roman" w:cs="Times New Roman" w:ascii="Tahoma" w:hAnsi="Tahoma"/>
          <w:b w:val="false"/>
          <w:bCs w:val="false"/>
          <w:sz w:val="24"/>
          <w:szCs w:val="24"/>
          <w:lang w:val="es-ES" w:eastAsia="es-ES"/>
        </w:rPr>
      </w:r>
    </w:p>
    <w:p>
      <w:pPr>
        <w:pStyle w:val="Normal"/>
        <w:pBdr>
          <w:top w:val="thickThinSmallGap" w:sz="24" w:space="17" w:color="800000"/>
          <w:left w:val="thickThinSmallGap" w:sz="24" w:space="2" w:color="800000"/>
          <w:bottom w:val="thickThinSmallGap" w:sz="24" w:space="0" w:color="800000"/>
          <w:right w:val="thickThinSmallGap" w:sz="24" w:space="0" w:color="800000"/>
        </w:pBdr>
        <w:spacing w:lineRule="auto" w:line="240" w:before="0" w:after="0"/>
        <w:jc w:val="center"/>
        <w:rPr>
          <w:rFonts w:ascii="Tahoma" w:hAnsi="Tahoma" w:eastAsia="Times New Roman" w:cs="Times New Roman"/>
          <w:b/>
          <w:b/>
          <w:sz w:val="24"/>
          <w:szCs w:val="24"/>
          <w:lang w:val="es-ES" w:eastAsia="es-ES"/>
        </w:rPr>
      </w:pPr>
      <w:r>
        <w:rPr>
          <w:rFonts w:eastAsia="Times New Roman" w:cs="Times New Roman" w:ascii="Tahoma" w:hAnsi="Tahoma"/>
          <w:b/>
          <w:sz w:val="24"/>
          <w:szCs w:val="24"/>
          <w:lang w:val="es-ES" w:eastAsia="es-ES"/>
        </w:rPr>
      </w:r>
    </w:p>
    <w:p>
      <w:pPr>
        <w:pStyle w:val="Normal"/>
        <w:pBdr>
          <w:top w:val="thickThinSmallGap" w:sz="24" w:space="17" w:color="800000"/>
          <w:left w:val="thickThinSmallGap" w:sz="24" w:space="2" w:color="800000"/>
          <w:bottom w:val="thickThinSmallGap" w:sz="24" w:space="0" w:color="800000"/>
          <w:right w:val="thickThinSmallGap" w:sz="24" w:space="0" w:color="800000"/>
        </w:pBdr>
        <w:spacing w:lineRule="auto" w:line="240" w:before="0" w:after="0"/>
        <w:jc w:val="center"/>
        <w:rPr>
          <w:rFonts w:ascii="Tahoma" w:hAnsi="Tahoma" w:eastAsia="Times New Roman" w:cs="Times New Roman"/>
          <w:b/>
          <w:b/>
          <w:sz w:val="24"/>
          <w:szCs w:val="24"/>
          <w:lang w:val="es-ES" w:eastAsia="es-ES"/>
        </w:rPr>
      </w:pPr>
      <w:r>
        <w:rPr>
          <w:rFonts w:eastAsia="Times New Roman" w:cs="Times New Roman" w:ascii="Tahoma" w:hAnsi="Tahoma"/>
          <w:b/>
          <w:sz w:val="24"/>
          <w:szCs w:val="24"/>
          <w:lang w:val="es-ES" w:eastAsia="es-ES"/>
        </w:rPr>
      </w:r>
    </w:p>
    <w:p>
      <w:pPr>
        <w:pStyle w:val="Normal"/>
        <w:pBdr>
          <w:top w:val="thickThinSmallGap" w:sz="24" w:space="17" w:color="800000"/>
          <w:left w:val="thickThinSmallGap" w:sz="24" w:space="2" w:color="800000"/>
          <w:bottom w:val="thickThinSmallGap" w:sz="24" w:space="0" w:color="800000"/>
          <w:right w:val="thickThinSmallGap" w:sz="24" w:space="0" w:color="800000"/>
        </w:pBdr>
        <w:spacing w:lineRule="auto" w:line="240" w:before="0" w:after="0"/>
        <w:jc w:val="both"/>
        <w:rPr>
          <w:rFonts w:ascii="Tahoma" w:hAnsi="Tahoma" w:eastAsia="Times New Roman" w:cs="Times New Roman"/>
          <w:szCs w:val="24"/>
          <w:lang w:val="es-ES" w:eastAsia="es-ES"/>
        </w:rPr>
      </w:pPr>
      <w:r>
        <w:rPr>
          <w:rFonts w:eastAsia="Times New Roman" w:cs="Times New Roman" w:ascii="Tahoma" w:hAnsi="Tahoma"/>
          <w:szCs w:val="24"/>
          <w:lang w:val="es-ES" w:eastAsia="es-ES"/>
        </w:rPr>
      </w:r>
    </w:p>
    <w:p>
      <w:pPr>
        <w:pStyle w:val="Normal"/>
        <w:spacing w:lineRule="auto" w:line="240" w:before="0" w:after="0"/>
        <w:rPr>
          <w:rFonts w:ascii="Tahoma" w:hAnsi="Tahoma" w:eastAsia="Times New Roman" w:cs="Times New Roman"/>
          <w:b/>
          <w:b/>
          <w:szCs w:val="24"/>
          <w:lang w:val="es-ES" w:eastAsia="es-ES"/>
        </w:rPr>
      </w:pPr>
      <w:r>
        <w:rPr>
          <w:rFonts w:eastAsia="Times New Roman" w:cs="Times New Roman" w:ascii="Tahoma" w:hAnsi="Tahoma"/>
          <w:b/>
          <w:szCs w:val="24"/>
          <w:lang w:val="es-ES" w:eastAsia="es-ES"/>
        </w:rPr>
      </w:r>
    </w:p>
    <w:p>
      <w:pPr>
        <w:pStyle w:val="Normal"/>
        <w:spacing w:lineRule="auto" w:line="252" w:before="0" w:after="160"/>
        <w:ind w:right="0" w:firstLine="2835"/>
        <w:jc w:val="right"/>
        <w:rPr>
          <w:rFonts w:ascii="Tahoma" w:hAnsi="Tahoma" w:cs="Tahoma"/>
          <w:b/>
          <w:b/>
          <w:sz w:val="22"/>
          <w:lang w:val="es-ES_tradnl"/>
        </w:rPr>
      </w:pPr>
      <w:r>
        <w:rPr>
          <w:rFonts w:cs="Tahoma" w:ascii="Tahoma" w:hAnsi="Tahoma"/>
          <w:b/>
          <w:sz w:val="22"/>
          <w:lang w:val="es-ES_tradnl"/>
        </w:rPr>
      </w:r>
    </w:p>
    <w:p>
      <w:pPr>
        <w:pStyle w:val="Normal"/>
        <w:spacing w:lineRule="auto" w:line="252" w:before="0" w:after="160"/>
        <w:ind w:right="0" w:firstLine="2835"/>
        <w:jc w:val="right"/>
        <w:rPr>
          <w:rFonts w:ascii="Tahoma" w:hAnsi="Tahoma" w:cs="Tahoma"/>
          <w:b/>
          <w:b/>
          <w:sz w:val="22"/>
          <w:lang w:val="es-ES_tradnl"/>
        </w:rPr>
      </w:pPr>
      <w:r>
        <w:rPr>
          <w:rFonts w:cs="Tahoma" w:ascii="Tahoma" w:hAnsi="Tahoma"/>
          <w:b/>
          <w:sz w:val="22"/>
          <w:lang w:val="es-ES_tradnl"/>
        </w:rPr>
      </w:r>
    </w:p>
    <w:p>
      <w:pPr>
        <w:pStyle w:val="Normal"/>
        <w:spacing w:lineRule="auto" w:line="252" w:before="0" w:after="160"/>
        <w:ind w:right="0" w:firstLine="2835"/>
        <w:jc w:val="right"/>
        <w:rPr>
          <w:rFonts w:ascii="Tahoma" w:hAnsi="Tahoma" w:cs="Tahoma"/>
          <w:b/>
          <w:b/>
          <w:sz w:val="22"/>
          <w:lang w:val="es-ES_tradnl"/>
        </w:rPr>
      </w:pPr>
      <w:r>
        <w:rPr>
          <w:rFonts w:cs="Tahoma" w:ascii="Tahoma" w:hAnsi="Tahoma"/>
          <w:b/>
          <w:sz w:val="22"/>
          <w:lang w:val="es-ES_tradnl"/>
        </w:rPr>
      </w:r>
    </w:p>
    <w:p>
      <w:pPr>
        <w:pStyle w:val="Normal"/>
        <w:spacing w:lineRule="auto" w:line="252" w:before="0" w:after="160"/>
        <w:ind w:right="0" w:firstLine="2835"/>
        <w:jc w:val="right"/>
        <w:rPr>
          <w:rFonts w:ascii="Tahoma" w:hAnsi="Tahoma" w:cs="Tahoma"/>
          <w:b/>
          <w:b/>
          <w:sz w:val="22"/>
          <w:lang w:val="es-ES_tradnl"/>
        </w:rPr>
      </w:pPr>
      <w:r>
        <w:rPr>
          <w:rFonts w:cs="Tahoma" w:ascii="Tahoma" w:hAnsi="Tahoma"/>
          <w:b/>
          <w:sz w:val="22"/>
          <w:lang w:val="es-ES_tradnl"/>
        </w:rPr>
      </w:r>
    </w:p>
    <w:p>
      <w:pPr>
        <w:pStyle w:val="Normal"/>
        <w:spacing w:lineRule="auto" w:line="252" w:before="0" w:after="160"/>
        <w:ind w:right="0" w:firstLine="2835"/>
        <w:jc w:val="right"/>
        <w:rPr>
          <w:rFonts w:ascii="Tahoma" w:hAnsi="Tahoma" w:cs="Tahoma"/>
          <w:b/>
          <w:b/>
          <w:sz w:val="22"/>
          <w:lang w:val="es-ES_tradnl"/>
        </w:rPr>
      </w:pPr>
      <w:r>
        <w:rPr>
          <w:rFonts w:cs="Tahoma" w:ascii="Tahoma" w:hAnsi="Tahoma"/>
          <w:b/>
          <w:sz w:val="22"/>
          <w:lang w:val="es-ES_tradnl"/>
        </w:rPr>
      </w:r>
    </w:p>
    <w:p>
      <w:pPr>
        <w:pStyle w:val="Normal"/>
        <w:spacing w:lineRule="auto" w:line="252" w:before="0" w:after="160"/>
        <w:ind w:right="0" w:firstLine="2835"/>
        <w:jc w:val="right"/>
        <w:rPr>
          <w:rFonts w:ascii="Tahoma" w:hAnsi="Tahoma" w:cs="Tahoma"/>
          <w:b/>
          <w:b/>
          <w:sz w:val="22"/>
          <w:lang w:val="es-ES_tradnl"/>
        </w:rPr>
      </w:pPr>
      <w:r>
        <w:rPr>
          <w:rFonts w:cs="Tahoma" w:ascii="Tahoma" w:hAnsi="Tahoma"/>
          <w:b/>
          <w:sz w:val="22"/>
          <w:lang w:val="es-ES_tradnl"/>
        </w:rPr>
      </w:r>
    </w:p>
    <w:p>
      <w:pPr>
        <w:pStyle w:val="Normal"/>
        <w:spacing w:lineRule="auto" w:line="252" w:before="0" w:after="160"/>
        <w:ind w:right="0" w:firstLine="2835"/>
        <w:jc w:val="right"/>
        <w:rPr>
          <w:rFonts w:ascii="Tahoma" w:hAnsi="Tahoma" w:cs="Tahoma"/>
          <w:b/>
          <w:b/>
          <w:sz w:val="22"/>
          <w:lang w:val="es-ES_tradnl"/>
        </w:rPr>
      </w:pPr>
      <w:r>
        <w:rPr>
          <w:rFonts w:cs="Tahoma" w:ascii="Tahoma" w:hAnsi="Tahoma"/>
          <w:b/>
          <w:sz w:val="22"/>
          <w:lang w:val="es-ES_tradnl"/>
        </w:rPr>
      </w:r>
    </w:p>
    <w:p>
      <w:pPr>
        <w:pStyle w:val="Normal"/>
        <w:spacing w:lineRule="auto" w:line="252" w:before="0" w:after="160"/>
        <w:ind w:right="0" w:firstLine="2835"/>
        <w:jc w:val="right"/>
        <w:rPr>
          <w:rFonts w:eastAsia="Calibri"/>
          <w:i/>
          <w:i/>
          <w:lang w:eastAsia="en-US"/>
        </w:rPr>
      </w:pPr>
      <w:r>
        <w:rPr>
          <w:rFonts w:eastAsia="Calibri"/>
          <w:i/>
          <w:lang w:eastAsia="en-US"/>
        </w:rPr>
        <w:t xml:space="preserve">Lavalle, </w:t>
      </w:r>
      <w:r>
        <w:rPr>
          <w:rFonts w:eastAsia="Calibri"/>
          <w:i/>
          <w:lang w:eastAsia="en-US"/>
        </w:rPr>
        <w:t>09</w:t>
      </w:r>
      <w:r>
        <w:rPr>
          <w:rFonts w:eastAsia="Calibri"/>
          <w:i/>
          <w:lang w:eastAsia="en-US"/>
        </w:rPr>
        <w:t xml:space="preserve"> de </w:t>
      </w:r>
      <w:r>
        <w:rPr>
          <w:rFonts w:eastAsia="Calibri"/>
          <w:i/>
          <w:lang w:eastAsia="en-US"/>
        </w:rPr>
        <w:t xml:space="preserve">Junio </w:t>
      </w:r>
      <w:r>
        <w:rPr>
          <w:rFonts w:eastAsia="Calibri"/>
          <w:i/>
          <w:lang w:eastAsia="en-US"/>
        </w:rPr>
        <w:t>de 2026</w:t>
      </w:r>
    </w:p>
    <w:p>
      <w:pPr>
        <w:pStyle w:val="Normal"/>
        <w:spacing w:lineRule="auto" w:line="252" w:before="0" w:after="160"/>
        <w:jc w:val="right"/>
        <w:rPr>
          <w:rFonts w:eastAsia="Calibri"/>
          <w:i/>
          <w:i/>
          <w:lang w:eastAsia="en-US"/>
        </w:rPr>
      </w:pPr>
      <w:r>
        <w:rPr>
          <w:rFonts w:eastAsia="Calibri"/>
          <w:i/>
          <w:lang w:eastAsia="en-US"/>
        </w:rPr>
      </w:r>
    </w:p>
    <w:p>
      <w:pPr>
        <w:pStyle w:val="Normal"/>
        <w:spacing w:lineRule="auto" w:line="252" w:before="0" w:after="160"/>
        <w:jc w:val="right"/>
        <w:rPr>
          <w:rFonts w:eastAsia="Calibri"/>
          <w:i/>
          <w:i/>
          <w:lang w:eastAsia="en-US"/>
        </w:rPr>
      </w:pPr>
      <w:r>
        <w:rPr>
          <w:rFonts w:eastAsia="Calibri"/>
          <w:i/>
          <w:lang w:eastAsia="en-US"/>
        </w:rPr>
      </w:r>
    </w:p>
    <w:p>
      <w:pPr>
        <w:pStyle w:val="Normal"/>
        <w:spacing w:lineRule="auto" w:line="252" w:before="0" w:after="160"/>
        <w:rPr>
          <w:rFonts w:eastAsia="Calibri"/>
          <w:b/>
          <w:b/>
          <w:i/>
          <w:i/>
          <w:lang w:eastAsia="en-US"/>
        </w:rPr>
      </w:pPr>
      <w:r>
        <w:rPr>
          <w:rFonts w:eastAsia="Calibri"/>
          <w:b/>
          <w:i/>
          <w:lang w:eastAsia="en-US"/>
        </w:rPr>
        <w:t>Señor/es…………</w:t>
      </w:r>
    </w:p>
    <w:p>
      <w:pPr>
        <w:pStyle w:val="Normal"/>
        <w:spacing w:lineRule="auto" w:line="252" w:before="0" w:after="160"/>
        <w:rPr>
          <w:rFonts w:eastAsia="Calibri"/>
          <w:b/>
          <w:b/>
          <w:i/>
          <w:i/>
          <w:u w:val="single"/>
          <w:lang w:eastAsia="en-US"/>
        </w:rPr>
      </w:pPr>
      <w:r>
        <w:rPr>
          <w:rFonts w:eastAsia="Calibri"/>
          <w:b/>
          <w:i/>
          <w:u w:val="single"/>
          <w:lang w:eastAsia="en-US"/>
        </w:rPr>
        <w:t>P R E S E N T E</w:t>
      </w:r>
    </w:p>
    <w:p>
      <w:pPr>
        <w:pStyle w:val="Normal"/>
        <w:spacing w:lineRule="auto" w:line="252" w:before="0" w:after="160"/>
        <w:rPr>
          <w:rFonts w:eastAsia="Calibri"/>
          <w:b/>
          <w:b/>
          <w:i/>
          <w:i/>
          <w:lang w:eastAsia="en-US"/>
        </w:rPr>
      </w:pPr>
      <w:r>
        <w:rPr>
          <w:rFonts w:eastAsia="Calibri"/>
          <w:b/>
          <w:i/>
          <w:lang w:eastAsia="en-US"/>
        </w:rPr>
      </w:r>
    </w:p>
    <w:p>
      <w:pPr>
        <w:pStyle w:val="Normal"/>
        <w:spacing w:lineRule="auto" w:line="360" w:before="0" w:after="160"/>
        <w:rPr>
          <w:rFonts w:eastAsia="Calibri"/>
          <w:b/>
          <w:b/>
          <w:i/>
          <w:i/>
          <w:lang w:eastAsia="en-US"/>
        </w:rPr>
      </w:pPr>
      <w:r>
        <w:rPr>
          <w:rFonts w:eastAsia="Calibri"/>
          <w:b/>
          <w:i/>
          <w:lang w:eastAsia="en-US"/>
        </w:rPr>
      </w:r>
    </w:p>
    <w:p>
      <w:pPr>
        <w:pStyle w:val="Normal"/>
        <w:spacing w:lineRule="auto" w:line="360" w:before="0" w:after="160"/>
        <w:jc w:val="both"/>
        <w:rPr/>
      </w:pPr>
      <w:r>
        <w:rPr>
          <w:rFonts w:eastAsia="Calibri"/>
          <w:i/>
          <w:lang w:eastAsia="en-US"/>
        </w:rPr>
        <w:tab/>
        <w:tab/>
        <w:tab/>
        <w:tab/>
        <w:t xml:space="preserve">Tenemos el agrado de invitarle/s a participar en la Compra Directa  para la  </w:t>
      </w:r>
      <w:r>
        <w:rPr>
          <w:rFonts w:eastAsia="Calibri"/>
          <w:b/>
          <w:bCs/>
          <w:i/>
          <w:lang w:eastAsia="en-US"/>
        </w:rPr>
        <w:t>Contratación de Seguro de Responsabilidad Civil de Espacios Públicos, por el término de doce (12) meses</w:t>
      </w:r>
      <w:r>
        <w:rPr>
          <w:rFonts w:eastAsia="Calibri"/>
          <w:i/>
          <w:lang w:eastAsia="en-US"/>
        </w:rPr>
        <w:t xml:space="preserve">, cuya apertura tendrá lugar el día </w:t>
      </w:r>
      <w:r>
        <w:rPr>
          <w:rFonts w:eastAsia="Calibri"/>
          <w:i/>
          <w:lang w:eastAsia="en-US"/>
        </w:rPr>
        <w:t>17</w:t>
      </w:r>
      <w:r>
        <w:rPr>
          <w:rFonts w:eastAsia="Calibri"/>
          <w:i/>
          <w:lang w:eastAsia="en-US"/>
        </w:rPr>
        <w:t xml:space="preserve"> de Junio de 2026 a las 10:00 horas.</w:t>
      </w:r>
    </w:p>
    <w:p>
      <w:pPr>
        <w:pStyle w:val="Normal"/>
        <w:spacing w:lineRule="auto" w:line="360" w:before="0" w:after="160"/>
        <w:jc w:val="both"/>
        <w:rPr>
          <w:rFonts w:eastAsia="Calibri"/>
          <w:i/>
          <w:i/>
          <w:lang w:eastAsia="en-US"/>
        </w:rPr>
      </w:pPr>
      <w:r>
        <w:rPr>
          <w:rFonts w:eastAsia="Calibri"/>
          <w:i/>
          <w:lang w:eastAsia="en-US"/>
        </w:rPr>
        <w:tab/>
        <w:tab/>
        <w:tab/>
        <w:tab/>
        <w:t>A tal efecto acompañamos un ejemplar de los Pliegos de Condiciones  Particulares de la misma.</w:t>
        <w:tab/>
      </w:r>
    </w:p>
    <w:p>
      <w:pPr>
        <w:pStyle w:val="Normal"/>
        <w:spacing w:lineRule="auto" w:line="252" w:before="0" w:after="160"/>
        <w:jc w:val="both"/>
        <w:rPr>
          <w:rFonts w:eastAsia="Calibri"/>
          <w:i/>
          <w:i/>
          <w:lang w:eastAsia="en-US"/>
        </w:rPr>
      </w:pPr>
      <w:r>
        <w:rPr>
          <w:rFonts w:eastAsia="Calibri"/>
          <w:i/>
          <w:lang w:eastAsia="en-US"/>
        </w:rPr>
        <w:tab/>
        <w:tab/>
        <w:tab/>
        <w:tab/>
        <w:t>Sin otro motivo le/s saludamos muy atentamente.</w:t>
      </w:r>
    </w:p>
    <w:p>
      <w:pPr>
        <w:pStyle w:val="Normal"/>
        <w:spacing w:lineRule="auto" w:line="252" w:before="0" w:after="160"/>
        <w:jc w:val="both"/>
        <w:rPr>
          <w:rFonts w:eastAsia="Calibri"/>
          <w:lang w:eastAsia="en-US"/>
        </w:rPr>
      </w:pPr>
      <w:r>
        <w:rPr>
          <w:rFonts w:eastAsia="Calibri"/>
          <w:lang w:eastAsia="en-US"/>
        </w:rPr>
      </w:r>
    </w:p>
    <w:p>
      <w:pPr>
        <w:pStyle w:val="Normal"/>
        <w:spacing w:lineRule="auto" w:line="240" w:before="0" w:after="0"/>
        <w:rPr>
          <w:rFonts w:ascii="Times New Roman" w:hAnsi="Times New Roman" w:eastAsia="Times New Roman" w:cs="Times New Roman"/>
          <w:sz w:val="24"/>
          <w:szCs w:val="24"/>
          <w:lang w:val="es-ES" w:eastAsia="es-ES"/>
        </w:rPr>
      </w:pPr>
      <w:r>
        <w:rPr>
          <w:rFonts w:eastAsia="Times New Roman" w:cs="Times New Roman" w:ascii="Times New Roman" w:hAnsi="Times New Roman"/>
          <w:sz w:val="24"/>
          <w:szCs w:val="24"/>
          <w:lang w:val="es-ES" w:eastAsia="es-ES"/>
        </w:rPr>
      </w:r>
    </w:p>
    <w:p>
      <w:pPr>
        <w:pStyle w:val="Normal"/>
        <w:spacing w:lineRule="auto" w:line="240" w:before="0" w:after="0"/>
        <w:rPr>
          <w:rFonts w:ascii="Times New Roman" w:hAnsi="Times New Roman" w:eastAsia="Times New Roman" w:cs="Times New Roman"/>
          <w:sz w:val="24"/>
          <w:szCs w:val="24"/>
          <w:lang w:val="es-ES" w:eastAsia="es-ES"/>
        </w:rPr>
      </w:pPr>
      <w:r>
        <w:rPr>
          <w:rFonts w:eastAsia="Times New Roman" w:cs="Times New Roman" w:ascii="Times New Roman" w:hAnsi="Times New Roman"/>
          <w:sz w:val="24"/>
          <w:szCs w:val="24"/>
          <w:lang w:val="es-ES" w:eastAsia="es-ES"/>
        </w:rPr>
      </w:r>
    </w:p>
    <w:p>
      <w:pPr>
        <w:pStyle w:val="Normal"/>
        <w:spacing w:lineRule="auto" w:line="240" w:before="0" w:after="0"/>
        <w:rPr>
          <w:rFonts w:ascii="Times New Roman" w:hAnsi="Times New Roman" w:eastAsia="Times New Roman" w:cs="Times New Roman"/>
          <w:sz w:val="24"/>
          <w:szCs w:val="24"/>
          <w:lang w:val="es-ES" w:eastAsia="es-ES"/>
        </w:rPr>
      </w:pPr>
      <w:r>
        <w:rPr>
          <w:rFonts w:eastAsia="Times New Roman" w:cs="Times New Roman" w:ascii="Times New Roman" w:hAnsi="Times New Roman"/>
          <w:sz w:val="24"/>
          <w:szCs w:val="24"/>
          <w:lang w:val="es-ES" w:eastAsia="es-ES"/>
        </w:rPr>
      </w:r>
    </w:p>
    <w:p>
      <w:pPr>
        <w:pStyle w:val="Normal"/>
        <w:spacing w:lineRule="auto" w:line="240" w:before="0" w:after="0"/>
        <w:rPr>
          <w:rFonts w:ascii="Times New Roman" w:hAnsi="Times New Roman" w:eastAsia="Times New Roman" w:cs="Times New Roman"/>
          <w:sz w:val="24"/>
          <w:szCs w:val="24"/>
          <w:lang w:val="es-ES" w:eastAsia="es-ES"/>
        </w:rPr>
      </w:pPr>
      <w:r>
        <w:rPr>
          <w:rFonts w:eastAsia="Times New Roman" w:cs="Times New Roman" w:ascii="Times New Roman" w:hAnsi="Times New Roman"/>
          <w:sz w:val="24"/>
          <w:szCs w:val="24"/>
          <w:lang w:val="es-ES" w:eastAsia="es-ES"/>
        </w:rPr>
      </w:r>
    </w:p>
    <w:p>
      <w:pPr>
        <w:pStyle w:val="Normal"/>
        <w:spacing w:lineRule="auto" w:line="240" w:before="0" w:after="0"/>
        <w:rPr>
          <w:rFonts w:ascii="Times New Roman" w:hAnsi="Times New Roman" w:eastAsia="Times New Roman" w:cs="Times New Roman"/>
          <w:sz w:val="24"/>
          <w:szCs w:val="24"/>
          <w:lang w:val="es-ES" w:eastAsia="es-ES"/>
        </w:rPr>
      </w:pPr>
      <w:r>
        <w:rPr>
          <w:rFonts w:eastAsia="Times New Roman" w:cs="Times New Roman" w:ascii="Times New Roman" w:hAnsi="Times New Roman"/>
          <w:sz w:val="24"/>
          <w:szCs w:val="24"/>
          <w:lang w:val="es-ES" w:eastAsia="es-ES"/>
        </w:rPr>
      </w:r>
    </w:p>
    <w:p>
      <w:pPr>
        <w:pStyle w:val="Normal"/>
        <w:spacing w:lineRule="auto" w:line="240" w:before="0" w:after="0"/>
        <w:rPr>
          <w:rFonts w:ascii="Times New Roman" w:hAnsi="Times New Roman" w:eastAsia="Times New Roman" w:cs="Times New Roman"/>
          <w:sz w:val="24"/>
          <w:szCs w:val="24"/>
          <w:lang w:val="es-ES" w:eastAsia="es-ES"/>
        </w:rPr>
      </w:pPr>
      <w:r>
        <w:rPr>
          <w:rFonts w:eastAsia="Times New Roman" w:cs="Times New Roman" w:ascii="Times New Roman" w:hAnsi="Times New Roman"/>
          <w:sz w:val="24"/>
          <w:szCs w:val="24"/>
          <w:lang w:val="es-ES" w:eastAsia="es-ES"/>
        </w:rPr>
      </w:r>
    </w:p>
    <w:p>
      <w:pPr>
        <w:pStyle w:val="Normal"/>
        <w:spacing w:lineRule="auto" w:line="240" w:before="0" w:after="0"/>
        <w:rPr>
          <w:rFonts w:ascii="Times New Roman" w:hAnsi="Times New Roman" w:eastAsia="Times New Roman" w:cs="Times New Roman"/>
          <w:sz w:val="24"/>
          <w:szCs w:val="24"/>
          <w:lang w:val="es-ES" w:eastAsia="es-ES"/>
        </w:rPr>
      </w:pPr>
      <w:r>
        <w:rPr>
          <w:rFonts w:eastAsia="Times New Roman" w:cs="Times New Roman" w:ascii="Times New Roman" w:hAnsi="Times New Roman"/>
          <w:sz w:val="24"/>
          <w:szCs w:val="24"/>
          <w:lang w:val="es-ES" w:eastAsia="es-ES"/>
        </w:rPr>
      </w:r>
    </w:p>
    <w:p>
      <w:pPr>
        <w:pStyle w:val="Normal"/>
        <w:spacing w:lineRule="auto" w:line="240" w:before="0" w:after="0"/>
        <w:rPr>
          <w:rFonts w:ascii="Times New Roman" w:hAnsi="Times New Roman" w:eastAsia="Times New Roman" w:cs="Times New Roman"/>
          <w:sz w:val="24"/>
          <w:szCs w:val="24"/>
          <w:lang w:val="es-ES" w:eastAsia="es-ES"/>
        </w:rPr>
      </w:pPr>
      <w:r>
        <w:rPr>
          <w:rFonts w:eastAsia="Times New Roman" w:cs="Times New Roman" w:ascii="Times New Roman" w:hAnsi="Times New Roman"/>
          <w:sz w:val="24"/>
          <w:szCs w:val="24"/>
          <w:lang w:val="es-ES" w:eastAsia="es-ES"/>
        </w:rPr>
      </w:r>
    </w:p>
    <w:p>
      <w:pPr>
        <w:pStyle w:val="Normal"/>
        <w:spacing w:lineRule="auto" w:line="240" w:before="0" w:after="0"/>
        <w:rPr>
          <w:rFonts w:ascii="Times New Roman" w:hAnsi="Times New Roman" w:eastAsia="Times New Roman" w:cs="Times New Roman"/>
          <w:sz w:val="24"/>
          <w:szCs w:val="24"/>
          <w:lang w:val="es-ES" w:eastAsia="es-ES"/>
        </w:rPr>
      </w:pPr>
      <w:r>
        <w:rPr>
          <w:rFonts w:eastAsia="Times New Roman" w:cs="Times New Roman" w:ascii="Times New Roman" w:hAnsi="Times New Roman"/>
          <w:sz w:val="24"/>
          <w:szCs w:val="24"/>
          <w:lang w:val="es-ES" w:eastAsia="es-ES"/>
        </w:rPr>
      </w:r>
    </w:p>
    <w:p>
      <w:pPr>
        <w:pStyle w:val="Normal"/>
        <w:spacing w:lineRule="auto" w:line="240" w:before="0" w:after="0"/>
        <w:rPr>
          <w:rFonts w:ascii="Times New Roman" w:hAnsi="Times New Roman" w:eastAsia="Times New Roman" w:cs="Times New Roman"/>
          <w:sz w:val="24"/>
          <w:szCs w:val="24"/>
          <w:lang w:val="es-ES" w:eastAsia="es-ES"/>
        </w:rPr>
      </w:pPr>
      <w:r>
        <w:rPr>
          <w:rFonts w:eastAsia="Times New Roman" w:cs="Times New Roman" w:ascii="Times New Roman" w:hAnsi="Times New Roman"/>
          <w:sz w:val="24"/>
          <w:szCs w:val="24"/>
          <w:lang w:val="es-ES" w:eastAsia="es-ES"/>
        </w:rPr>
      </w:r>
    </w:p>
    <w:p>
      <w:pPr>
        <w:pStyle w:val="Normal"/>
        <w:spacing w:lineRule="auto" w:line="240" w:before="0" w:after="0"/>
        <w:rPr>
          <w:rFonts w:ascii="Times New Roman" w:hAnsi="Times New Roman" w:eastAsia="Times New Roman" w:cs="Times New Roman"/>
          <w:sz w:val="24"/>
          <w:szCs w:val="24"/>
          <w:lang w:val="es-ES" w:eastAsia="es-ES"/>
        </w:rPr>
      </w:pPr>
      <w:r>
        <w:rPr>
          <w:rFonts w:eastAsia="Times New Roman" w:cs="Times New Roman" w:ascii="Times New Roman" w:hAnsi="Times New Roman"/>
          <w:sz w:val="24"/>
          <w:szCs w:val="24"/>
          <w:lang w:val="es-ES" w:eastAsia="es-ES"/>
        </w:rPr>
      </w:r>
    </w:p>
    <w:p>
      <w:pPr>
        <w:pStyle w:val="Normal"/>
        <w:spacing w:lineRule="auto" w:line="240" w:before="0" w:after="0"/>
        <w:rPr>
          <w:rFonts w:ascii="Times New Roman" w:hAnsi="Times New Roman" w:eastAsia="Times New Roman" w:cs="Times New Roman"/>
          <w:sz w:val="24"/>
          <w:szCs w:val="24"/>
          <w:lang w:val="es-ES" w:eastAsia="es-ES"/>
        </w:rPr>
      </w:pPr>
      <w:r>
        <w:rPr>
          <w:rFonts w:eastAsia="Times New Roman" w:cs="Times New Roman" w:ascii="Times New Roman" w:hAnsi="Times New Roman"/>
          <w:sz w:val="24"/>
          <w:szCs w:val="24"/>
          <w:lang w:val="es-ES" w:eastAsia="es-ES"/>
        </w:rPr>
      </w:r>
    </w:p>
    <w:p>
      <w:pPr>
        <w:pStyle w:val="Normal"/>
        <w:spacing w:lineRule="auto" w:line="240" w:before="0" w:after="0"/>
        <w:rPr>
          <w:rFonts w:ascii="Times New Roman" w:hAnsi="Times New Roman" w:eastAsia="Times New Roman" w:cs="Times New Roman"/>
          <w:sz w:val="24"/>
          <w:szCs w:val="24"/>
          <w:lang w:val="es-ES" w:eastAsia="es-ES"/>
        </w:rPr>
      </w:pPr>
      <w:r>
        <w:rPr>
          <w:rFonts w:eastAsia="Times New Roman" w:cs="Times New Roman" w:ascii="Times New Roman" w:hAnsi="Times New Roman"/>
          <w:sz w:val="24"/>
          <w:szCs w:val="24"/>
          <w:lang w:val="es-ES" w:eastAsia="es-ES"/>
        </w:rPr>
      </w:r>
    </w:p>
    <w:p>
      <w:pPr>
        <w:pStyle w:val="Normal"/>
        <w:spacing w:lineRule="auto" w:line="240" w:before="0" w:after="0"/>
        <w:rPr>
          <w:rFonts w:ascii="Times New Roman" w:hAnsi="Times New Roman" w:eastAsia="Times New Roman" w:cs="Times New Roman"/>
          <w:sz w:val="24"/>
          <w:szCs w:val="24"/>
          <w:lang w:val="es-ES" w:eastAsia="es-ES"/>
        </w:rPr>
      </w:pPr>
      <w:r>
        <w:rPr>
          <w:rFonts w:eastAsia="Times New Roman" w:cs="Times New Roman" w:ascii="Times New Roman" w:hAnsi="Times New Roman"/>
          <w:sz w:val="24"/>
          <w:szCs w:val="24"/>
          <w:lang w:val="es-ES" w:eastAsia="es-ES"/>
        </w:rPr>
      </w:r>
    </w:p>
    <w:p>
      <w:pPr>
        <w:pStyle w:val="Normal"/>
        <w:jc w:val="center"/>
        <w:rPr>
          <w:u w:val="none" w:color="FFFFFF"/>
        </w:rPr>
      </w:pPr>
      <w:r>
        <w:rPr>
          <w:rFonts w:cs="Arial" w:ascii="Arial" w:hAnsi="Arial"/>
          <w:b/>
          <w:sz w:val="28"/>
          <w:szCs w:val="28"/>
          <w:u w:val="none" w:color="FFFFFF"/>
        </w:rPr>
        <w:t>PLIEGO DE CONDICIONES PARTICULARES</w:t>
      </w:r>
    </w:p>
    <w:p>
      <w:pPr>
        <w:pStyle w:val="Normal"/>
        <w:jc w:val="both"/>
        <w:rPr/>
      </w:pPr>
      <w:r>
        <w:rPr>
          <w:rFonts w:cs="Tahoma" w:ascii="Tahoma" w:hAnsi="Tahoma"/>
          <w:b/>
          <w:color w:val="000000"/>
          <w:sz w:val="22"/>
          <w:szCs w:val="22"/>
          <w:lang w:val="es-ES_tradnl"/>
        </w:rPr>
        <w:t xml:space="preserve">Artículo 1 - </w:t>
      </w:r>
      <w:r>
        <w:rPr>
          <w:rFonts w:cs="Tahoma" w:ascii="Tahoma" w:hAnsi="Tahoma"/>
          <w:b/>
          <w:i/>
          <w:color w:val="000000"/>
          <w:sz w:val="22"/>
          <w:szCs w:val="22"/>
          <w:lang w:val="es-ES_tradnl"/>
        </w:rPr>
        <w:t xml:space="preserve"> Objeto:</w:t>
      </w:r>
      <w:r>
        <w:rPr>
          <w:rFonts w:cs="Tahoma" w:ascii="Tahoma" w:hAnsi="Tahoma"/>
          <w:color w:val="000000"/>
          <w:sz w:val="22"/>
          <w:szCs w:val="22"/>
          <w:lang w:val="es-ES_tradnl"/>
        </w:rPr>
        <w:t xml:space="preserve"> La presente Licitación tiene por objeto la</w:t>
      </w:r>
      <w:r>
        <w:rPr>
          <w:rFonts w:cs="Tahoma" w:ascii="Tahoma" w:hAnsi="Tahoma"/>
          <w:caps/>
          <w:color w:val="000000"/>
          <w:sz w:val="22"/>
          <w:szCs w:val="22"/>
        </w:rPr>
        <w:t xml:space="preserve"> CONTRATACIÓN DE SEGURO DE RESPONSABILIDAD CIVIL DE ESPACIOS PUBLICOS, POR EL TERMINO DE DOCE (12) MESES</w:t>
      </w:r>
      <w:r>
        <w:rPr>
          <w:rFonts w:cs="Tahoma" w:ascii="Tahoma" w:hAnsi="Tahoma"/>
          <w:color w:val="000000"/>
          <w:sz w:val="22"/>
          <w:szCs w:val="22"/>
        </w:rPr>
        <w:t xml:space="preserve">, </w:t>
      </w:r>
      <w:r>
        <w:rPr>
          <w:rFonts w:cs="Tahoma" w:ascii="Tahoma" w:hAnsi="Tahoma"/>
          <w:color w:val="000000"/>
          <w:sz w:val="22"/>
          <w:szCs w:val="22"/>
          <w:lang w:val="es-ES_tradnl"/>
        </w:rPr>
        <w:t xml:space="preserve">de acuerdo con el </w:t>
      </w:r>
      <w:r>
        <w:rPr>
          <w:rFonts w:cs="Tahoma" w:ascii="Tahoma" w:hAnsi="Tahoma"/>
          <w:color w:val="000000"/>
          <w:sz w:val="22"/>
          <w:szCs w:val="22"/>
        </w:rPr>
        <w:t xml:space="preserve">Expediente. Nº 4291/2026– Resolución Nº </w:t>
      </w:r>
      <w:r>
        <w:rPr>
          <w:rFonts w:cs="Tahoma" w:ascii="Tahoma" w:hAnsi="Tahoma"/>
          <w:color w:val="000000"/>
          <w:sz w:val="22"/>
          <w:szCs w:val="22"/>
        </w:rPr>
        <w:t>655</w:t>
      </w:r>
      <w:r>
        <w:rPr>
          <w:rFonts w:cs="Tahoma" w:ascii="Tahoma" w:hAnsi="Tahoma"/>
          <w:color w:val="000000"/>
          <w:sz w:val="22"/>
          <w:szCs w:val="22"/>
        </w:rPr>
        <w:t>/26.</w:t>
      </w:r>
    </w:p>
    <w:p>
      <w:pPr>
        <w:pStyle w:val="Normal"/>
        <w:jc w:val="both"/>
        <w:rPr/>
      </w:pPr>
      <w:r>
        <w:rPr>
          <w:rFonts w:cs="Tahoma" w:ascii="Tahoma" w:hAnsi="Tahoma"/>
          <w:b/>
          <w:color w:val="000000"/>
          <w:sz w:val="22"/>
          <w:lang w:val="es-ES_tradnl"/>
        </w:rPr>
        <w:t xml:space="preserve">Artículo 2 – </w:t>
      </w:r>
      <w:r>
        <w:rPr>
          <w:rFonts w:cs="Tahoma" w:ascii="Tahoma" w:hAnsi="Tahoma"/>
          <w:b/>
          <w:i/>
          <w:color w:val="000000"/>
          <w:sz w:val="22"/>
          <w:lang w:val="es-ES_tradnl"/>
        </w:rPr>
        <w:t>Fecha y hora de apertura:</w:t>
      </w:r>
      <w:r>
        <w:rPr>
          <w:rFonts w:cs="Tahoma" w:ascii="Tahoma" w:hAnsi="Tahoma"/>
          <w:color w:val="000000"/>
          <w:sz w:val="22"/>
          <w:lang w:val="es-ES_tradnl"/>
        </w:rPr>
        <w:t xml:space="preserve">  Se fija el día </w:t>
      </w:r>
      <w:r>
        <w:rPr>
          <w:rFonts w:cs="Tahoma" w:ascii="Tahoma" w:hAnsi="Tahoma"/>
          <w:color w:val="000000"/>
          <w:sz w:val="22"/>
          <w:lang w:val="es-ES_tradnl"/>
        </w:rPr>
        <w:t>17</w:t>
      </w:r>
      <w:r>
        <w:rPr>
          <w:rFonts w:cs="Tahoma" w:ascii="Tahoma" w:hAnsi="Tahoma"/>
          <w:color w:val="000000"/>
          <w:sz w:val="22"/>
          <w:lang w:val="es-ES_tradnl"/>
        </w:rPr>
        <w:t xml:space="preserve"> de Junio de 2.026 a las 10:00 horas para el acto de apertura de las propuestas, en la Oficina de Compras y Suministros de la Municipalidad de Lavalle, sito entre calle Beltrán 37, 1º Piso, Tulumaya, Lavalle, </w:t>
      </w:r>
      <w:r>
        <w:rPr>
          <w:rFonts w:cs="Tahoma" w:ascii="Tahoma" w:hAnsi="Tahoma"/>
          <w:b/>
          <w:color w:val="000000"/>
          <w:sz w:val="22"/>
          <w:lang w:val="es-ES_tradnl"/>
        </w:rPr>
        <w:t>no recibiéndose ninguna propuesta pasada la hora establecida</w:t>
      </w:r>
      <w:r>
        <w:rPr>
          <w:rFonts w:cs="Tahoma" w:ascii="Tahoma" w:hAnsi="Tahoma"/>
          <w:color w:val="000000"/>
          <w:sz w:val="22"/>
          <w:lang w:val="es-ES_tradnl"/>
        </w:rPr>
        <w:t>. -</w:t>
      </w:r>
    </w:p>
    <w:p>
      <w:pPr>
        <w:pStyle w:val="Normal"/>
        <w:spacing w:before="0" w:after="0"/>
        <w:jc w:val="both"/>
        <w:rPr/>
      </w:pPr>
      <w:r>
        <w:rPr>
          <w:rFonts w:cs="Tahoma" w:ascii="Tahoma" w:hAnsi="Tahoma"/>
          <w:b/>
          <w:sz w:val="22"/>
        </w:rPr>
        <w:t>Artículo 3 -</w:t>
      </w:r>
      <w:r>
        <w:rPr>
          <w:rFonts w:cs="Tahoma" w:ascii="Tahoma" w:hAnsi="Tahoma"/>
          <w:b/>
          <w:i/>
          <w:sz w:val="22"/>
        </w:rPr>
        <w:t xml:space="preserve"> Descripción:</w:t>
      </w:r>
      <w:r>
        <w:rPr>
          <w:rFonts w:cs="Tahoma" w:ascii="Tahoma" w:hAnsi="Tahoma"/>
          <w:sz w:val="22"/>
        </w:rPr>
        <w:t xml:space="preserve"> El ítem a contratar se detalla en el formulario de cotización que forma parte de los presentes pliegos.</w:t>
      </w:r>
    </w:p>
    <w:p>
      <w:pPr>
        <w:pStyle w:val="Normal"/>
        <w:spacing w:before="0" w:after="0"/>
        <w:jc w:val="both"/>
        <w:rPr>
          <w:color w:val="000000"/>
        </w:rPr>
      </w:pPr>
      <w:r>
        <w:rPr>
          <w:rFonts w:cs="Tahoma" w:ascii="Tahoma" w:hAnsi="Tahoma"/>
          <w:color w:val="000000"/>
          <w:sz w:val="22"/>
        </w:rPr>
        <w:t>Se deberá cotizar por todos los espacios públicos detallados en dicho formulario por todos los espacios públicos, una suma mínima asegurada de $ 200.000.000,00 (Pesos DOSCIENTOS MILLONES CON 00/100).</w:t>
      </w:r>
    </w:p>
    <w:p>
      <w:pPr>
        <w:pStyle w:val="Normal"/>
        <w:tabs>
          <w:tab w:val="clear" w:pos="708"/>
          <w:tab w:val="left" w:pos="4678" w:leader="none"/>
        </w:tabs>
        <w:bidi w:val="0"/>
        <w:jc w:val="both"/>
        <w:rPr>
          <w:rFonts w:ascii="Tahoma" w:hAnsi="Tahoma" w:eastAsia="Times New Roman" w:cs="Tahoma"/>
          <w:b w:val="false"/>
          <w:b w:val="false"/>
          <w:bCs w:val="false"/>
          <w:sz w:val="22"/>
          <w:shd w:fill="auto" w:val="clear"/>
          <w:lang w:val="es-ES_tradnl"/>
        </w:rPr>
      </w:pPr>
      <w:r>
        <w:rPr>
          <w:rFonts w:eastAsia="Times New Roman" w:cs="Tahoma" w:ascii="Tahoma" w:hAnsi="Tahoma"/>
          <w:b w:val="false"/>
          <w:bCs w:val="false"/>
          <w:sz w:val="22"/>
          <w:shd w:fill="auto" w:val="clear"/>
          <w:lang w:val="es-ES_tradnl"/>
        </w:rPr>
      </w:r>
    </w:p>
    <w:p>
      <w:pPr>
        <w:pStyle w:val="Normal"/>
        <w:spacing w:lineRule="auto" w:line="252" w:before="0" w:after="0"/>
        <w:jc w:val="both"/>
        <w:rPr/>
      </w:pPr>
      <w:r>
        <w:rPr>
          <w:rFonts w:eastAsia="Calibri" w:cs="Tahoma" w:ascii="Tahoma" w:hAnsi="Tahoma"/>
          <w:b/>
          <w:sz w:val="22"/>
          <w:szCs w:val="22"/>
          <w:lang w:eastAsia="en-US"/>
        </w:rPr>
        <w:t xml:space="preserve">Artículo 4 - </w:t>
      </w:r>
      <w:r>
        <w:rPr>
          <w:rFonts w:eastAsia="Calibri" w:cs="Tahoma" w:ascii="Tahoma" w:hAnsi="Tahoma"/>
          <w:b/>
          <w:i/>
          <w:sz w:val="22"/>
          <w:szCs w:val="22"/>
          <w:lang w:eastAsia="en-US"/>
        </w:rPr>
        <w:t>Garantía de oferta:</w:t>
      </w:r>
      <w:r>
        <w:rPr>
          <w:rFonts w:eastAsia="Calibri" w:cs="Tahoma" w:ascii="Tahoma" w:hAnsi="Tahoma"/>
          <w:sz w:val="22"/>
          <w:szCs w:val="22"/>
          <w:lang w:eastAsia="en-US"/>
        </w:rPr>
        <w:t xml:space="preserve"> La propuesta deberá estar afianzada por una garantía de oferta, la que no podrá ser inferior al Uno por ciento (1%) del Presupuesto presentado en el Formulario de Cotización y deberá constituirse mediante cualquiera de los siguientes valores:</w:t>
      </w:r>
    </w:p>
    <w:p>
      <w:pPr>
        <w:pStyle w:val="Normal"/>
        <w:numPr>
          <w:ilvl w:val="0"/>
          <w:numId w:val="1"/>
        </w:numPr>
        <w:spacing w:before="0" w:after="0"/>
        <w:jc w:val="both"/>
        <w:rPr>
          <w:rFonts w:ascii="Tahoma" w:hAnsi="Tahoma" w:eastAsia="Calibri" w:cs="Tahoma"/>
          <w:sz w:val="22"/>
          <w:szCs w:val="22"/>
          <w:lang w:eastAsia="en-US"/>
        </w:rPr>
      </w:pPr>
      <w:r>
        <w:rPr>
          <w:rFonts w:eastAsia="Calibri" w:cs="Tahoma" w:ascii="Tahoma" w:hAnsi="Tahoma"/>
          <w:sz w:val="22"/>
          <w:szCs w:val="22"/>
          <w:lang w:eastAsia="en-US"/>
        </w:rPr>
        <w:t>dinero en efectivo, que deberá depositarse en Tesorería municipal;</w:t>
      </w:r>
    </w:p>
    <w:p>
      <w:pPr>
        <w:pStyle w:val="Normal"/>
        <w:numPr>
          <w:ilvl w:val="0"/>
          <w:numId w:val="1"/>
        </w:numPr>
        <w:spacing w:before="0" w:after="0"/>
        <w:jc w:val="both"/>
        <w:rPr/>
      </w:pPr>
      <w:r>
        <w:rPr>
          <w:rFonts w:eastAsia="Calibri" w:cs="Tahoma" w:ascii="Tahoma" w:hAnsi="Tahoma"/>
          <w:sz w:val="22"/>
          <w:szCs w:val="22"/>
          <w:lang w:eastAsia="en-US"/>
        </w:rPr>
        <w:t xml:space="preserve">fianza bancaria </w:t>
      </w:r>
      <w:r>
        <w:rPr>
          <w:rFonts w:cs="Tahoma" w:ascii="Tahoma" w:hAnsi="Tahoma"/>
          <w:sz w:val="22"/>
        </w:rPr>
        <w:t>seguro de caución a satisfacción de la Municipalidad, debiendo en este caso las entidades bancarias o aseguradoras observar lo prescrito en el Art. 6 inc. b) en relación al domicilio electrónico a constituir por las mismas, y en caso de contar con firma digital deberá presentar la autorización del órgano certificante</w:t>
      </w:r>
      <w:r>
        <w:rPr>
          <w:rFonts w:eastAsia="Calibri" w:cs="Tahoma" w:ascii="Tahoma" w:hAnsi="Tahoma"/>
          <w:sz w:val="22"/>
          <w:szCs w:val="22"/>
          <w:lang w:eastAsia="en-US"/>
        </w:rPr>
        <w:t>;</w:t>
      </w:r>
    </w:p>
    <w:p>
      <w:pPr>
        <w:pStyle w:val="Normal"/>
        <w:numPr>
          <w:ilvl w:val="0"/>
          <w:numId w:val="1"/>
        </w:numPr>
        <w:spacing w:before="0" w:after="0"/>
        <w:jc w:val="both"/>
        <w:rPr>
          <w:rFonts w:ascii="Tahoma" w:hAnsi="Tahoma" w:eastAsia="Calibri" w:cs="Tahoma"/>
          <w:sz w:val="22"/>
          <w:szCs w:val="22"/>
          <w:lang w:eastAsia="en-US"/>
        </w:rPr>
      </w:pPr>
      <w:r>
        <w:rPr>
          <w:rFonts w:eastAsia="Calibri" w:cs="Tahoma" w:ascii="Tahoma" w:hAnsi="Tahoma"/>
          <w:sz w:val="22"/>
          <w:szCs w:val="22"/>
          <w:lang w:eastAsia="en-US"/>
        </w:rPr>
        <w:t>seguro de caución;</w:t>
      </w:r>
    </w:p>
    <w:p>
      <w:pPr>
        <w:pStyle w:val="Normal"/>
        <w:numPr>
          <w:ilvl w:val="0"/>
          <w:numId w:val="1"/>
        </w:numPr>
        <w:spacing w:before="0" w:after="0"/>
        <w:jc w:val="both"/>
        <w:rPr>
          <w:rFonts w:ascii="Tahoma" w:hAnsi="Tahoma" w:eastAsia="Calibri" w:cs="Tahoma"/>
          <w:sz w:val="22"/>
          <w:szCs w:val="22"/>
          <w:lang w:eastAsia="en-US"/>
        </w:rPr>
      </w:pPr>
      <w:r>
        <w:rPr>
          <w:rFonts w:eastAsia="Calibri" w:cs="Tahoma" w:ascii="Tahoma" w:hAnsi="Tahoma"/>
          <w:sz w:val="22"/>
          <w:szCs w:val="22"/>
          <w:lang w:eastAsia="en-US"/>
        </w:rPr>
        <w:t>documento pagaré a la vista (cuya firma deberá estar certificada por autoridad competente, incluso por funcionario municipal).</w:t>
      </w:r>
    </w:p>
    <w:p>
      <w:pPr>
        <w:pStyle w:val="Normal"/>
        <w:spacing w:lineRule="atLeast" w:line="283" w:before="0" w:after="29"/>
        <w:jc w:val="both"/>
        <w:rPr>
          <w:rFonts w:ascii="Tahoma" w:hAnsi="Tahoma" w:cs="Tahoma"/>
          <w:b/>
          <w:b/>
          <w:sz w:val="22"/>
          <w:szCs w:val="22"/>
          <w:lang w:val="es-ES_tradnl"/>
        </w:rPr>
      </w:pPr>
      <w:r>
        <w:rPr>
          <w:rFonts w:cs="Tahoma" w:ascii="Tahoma" w:hAnsi="Tahoma"/>
          <w:b/>
          <w:sz w:val="22"/>
          <w:szCs w:val="22"/>
          <w:lang w:val="es-ES_tradnl"/>
        </w:rPr>
      </w:r>
    </w:p>
    <w:p>
      <w:pPr>
        <w:pStyle w:val="Normal"/>
        <w:spacing w:lineRule="atLeast" w:line="283" w:before="0" w:after="29"/>
        <w:jc w:val="both"/>
        <w:rPr/>
      </w:pPr>
      <w:r>
        <w:rPr>
          <w:rFonts w:cs="Tahoma" w:ascii="Tahoma" w:hAnsi="Tahoma"/>
          <w:b/>
          <w:sz w:val="22"/>
          <w:szCs w:val="22"/>
          <w:lang w:val="es-ES_tradnl"/>
        </w:rPr>
        <w:t xml:space="preserve">Artículo 5 – </w:t>
      </w:r>
      <w:r>
        <w:rPr>
          <w:rFonts w:cs="Tahoma" w:ascii="Tahoma" w:hAnsi="Tahoma"/>
          <w:b/>
          <w:i/>
          <w:sz w:val="22"/>
          <w:szCs w:val="22"/>
          <w:lang w:val="es-ES_tradnl"/>
        </w:rPr>
        <w:t xml:space="preserve"> Contenido del sobre:  </w:t>
      </w:r>
      <w:r>
        <w:rPr>
          <w:rFonts w:cs="Tahoma" w:ascii="Tahoma" w:hAnsi="Tahoma"/>
          <w:b/>
          <w:sz w:val="22"/>
          <w:szCs w:val="22"/>
          <w:lang w:val="es-ES_tradnl"/>
        </w:rPr>
        <w:t>El sobre deberá contener:</w:t>
      </w:r>
    </w:p>
    <w:p>
      <w:pPr>
        <w:pStyle w:val="Normal"/>
        <w:spacing w:lineRule="atLeast" w:line="283" w:before="0" w:after="29"/>
        <w:jc w:val="both"/>
        <w:rPr>
          <w:rFonts w:ascii="Tahoma" w:hAnsi="Tahoma" w:cs="Tahoma"/>
          <w:b w:val="false"/>
          <w:b w:val="false"/>
          <w:bCs w:val="false"/>
          <w:sz w:val="22"/>
          <w:szCs w:val="22"/>
          <w:u w:val="single"/>
        </w:rPr>
      </w:pPr>
      <w:r>
        <w:rPr>
          <w:rFonts w:cs="Tahoma" w:ascii="Tahoma" w:hAnsi="Tahoma"/>
          <w:b w:val="false"/>
          <w:bCs w:val="false"/>
          <w:sz w:val="22"/>
          <w:szCs w:val="22"/>
          <w:u w:val="single"/>
        </w:rPr>
        <w:t>1º) Documentación:</w:t>
      </w:r>
    </w:p>
    <w:p>
      <w:pPr>
        <w:pStyle w:val="Normal"/>
        <w:numPr>
          <w:ilvl w:val="0"/>
          <w:numId w:val="2"/>
        </w:numPr>
        <w:spacing w:lineRule="auto" w:line="252" w:before="0" w:after="0"/>
        <w:contextualSpacing/>
        <w:jc w:val="both"/>
        <w:rPr>
          <w:rFonts w:ascii="Tahoma" w:hAnsi="Tahoma" w:eastAsia="Tahoma" w:cs="Tahoma"/>
          <w:sz w:val="22"/>
          <w:szCs w:val="22"/>
        </w:rPr>
      </w:pPr>
      <w:r>
        <w:rPr>
          <w:rFonts w:eastAsia="Tahoma" w:cs="Tahoma" w:ascii="Tahoma" w:hAnsi="Tahoma"/>
          <w:sz w:val="22"/>
          <w:szCs w:val="22"/>
        </w:rPr>
        <w:t xml:space="preserve"> </w:t>
      </w:r>
      <w:r>
        <w:rPr>
          <w:rFonts w:cs="Tahoma" w:ascii="Tahoma" w:hAnsi="Tahoma"/>
          <w:sz w:val="22"/>
          <w:szCs w:val="22"/>
        </w:rPr>
        <w:t>Comprobante de constitución garantía de oferta.</w:t>
      </w:r>
    </w:p>
    <w:p>
      <w:pPr>
        <w:pStyle w:val="Normal"/>
        <w:numPr>
          <w:ilvl w:val="0"/>
          <w:numId w:val="2"/>
        </w:numPr>
        <w:spacing w:lineRule="auto" w:line="252" w:before="0" w:after="0"/>
        <w:contextualSpacing/>
        <w:jc w:val="both"/>
        <w:rPr>
          <w:rFonts w:ascii="Tahoma" w:hAnsi="Tahoma" w:eastAsia="Tahoma" w:cs="Tahoma"/>
          <w:sz w:val="22"/>
          <w:szCs w:val="22"/>
        </w:rPr>
      </w:pPr>
      <w:r>
        <w:rPr>
          <w:rFonts w:eastAsia="Tahoma" w:cs="Tahoma" w:ascii="Tahoma" w:hAnsi="Tahoma"/>
          <w:sz w:val="22"/>
          <w:szCs w:val="22"/>
        </w:rPr>
        <w:t xml:space="preserve"> </w:t>
      </w:r>
      <w:r>
        <w:rPr>
          <w:rFonts w:eastAsia="Tahoma" w:cs="Tahoma" w:ascii="Tahoma" w:hAnsi="Tahoma"/>
          <w:sz w:val="22"/>
          <w:szCs w:val="22"/>
        </w:rPr>
        <w:t>Constitución de domicilio electrónico y domicilio especial a todos los efectos legales de la Licitación, en los términos  de la Ley 9.003.</w:t>
      </w:r>
    </w:p>
    <w:p>
      <w:pPr>
        <w:pStyle w:val="Normal"/>
        <w:numPr>
          <w:ilvl w:val="0"/>
          <w:numId w:val="2"/>
        </w:numPr>
        <w:spacing w:lineRule="auto" w:line="252" w:before="0" w:after="0"/>
        <w:contextualSpacing/>
        <w:jc w:val="both"/>
        <w:rPr>
          <w:rFonts w:ascii="Tahoma" w:hAnsi="Tahoma" w:eastAsia="Tahoma" w:cs="Tahoma"/>
          <w:sz w:val="22"/>
          <w:szCs w:val="22"/>
          <w:lang w:val="es-ES_tradnl"/>
        </w:rPr>
      </w:pPr>
      <w:r>
        <w:rPr>
          <w:rFonts w:eastAsia="Tahoma" w:cs="Tahoma" w:ascii="Tahoma" w:hAnsi="Tahoma"/>
          <w:sz w:val="22"/>
          <w:szCs w:val="22"/>
        </w:rPr>
        <w:t xml:space="preserve"> </w:t>
      </w:r>
      <w:r>
        <w:rPr>
          <w:rFonts w:cs="Tahoma" w:ascii="Tahoma" w:hAnsi="Tahoma"/>
          <w:sz w:val="22"/>
          <w:szCs w:val="22"/>
        </w:rPr>
        <w:t>Un ejemplar de los pliegos, sus anexos, aclaraciones y demás documentación complementaria de los mismos,</w:t>
      </w:r>
      <w:r>
        <w:rPr>
          <w:rFonts w:cs="Tahoma" w:ascii="Tahoma" w:hAnsi="Tahoma"/>
          <w:b/>
          <w:sz w:val="22"/>
          <w:szCs w:val="22"/>
        </w:rPr>
        <w:t xml:space="preserve"> firmado en todas sus hojas al igual que toda la documentación que se presente.</w:t>
      </w:r>
    </w:p>
    <w:p>
      <w:pPr>
        <w:pStyle w:val="Normal"/>
        <w:numPr>
          <w:ilvl w:val="0"/>
          <w:numId w:val="2"/>
        </w:numPr>
        <w:spacing w:lineRule="auto" w:line="252" w:before="0" w:after="0"/>
        <w:contextualSpacing/>
        <w:jc w:val="both"/>
        <w:rPr>
          <w:rFonts w:ascii="Tahoma" w:hAnsi="Tahoma" w:eastAsia="Tahoma" w:cs="Tahoma"/>
          <w:sz w:val="22"/>
          <w:szCs w:val="22"/>
          <w:lang w:val="es-ES_tradnl"/>
        </w:rPr>
      </w:pPr>
      <w:r>
        <w:rPr>
          <w:rFonts w:eastAsia="Tahoma" w:cs="Tahoma" w:ascii="Tahoma" w:hAnsi="Tahoma"/>
          <w:sz w:val="22"/>
          <w:szCs w:val="22"/>
          <w:lang w:val="es-ES_tradnl"/>
        </w:rPr>
        <w:t xml:space="preserve"> </w:t>
      </w:r>
      <w:r>
        <w:rPr>
          <w:rFonts w:eastAsia="Tahoma" w:cs="Tahoma" w:ascii="Tahoma" w:hAnsi="Tahoma"/>
          <w:sz w:val="22"/>
          <w:szCs w:val="22"/>
          <w:lang w:val="es-ES_tradnl"/>
        </w:rPr>
        <w:t>Comprobantes que certifiquen su inscripción en los regímenes fiscales nacional (ARCA) y provincial (A.T.M.) la cual deberá ser descargada de la página web oficial de sta repartición pública siendo insuficiente la constancia de inscripción en el Convenio Multilateral. Debiendo al momento de la apertura estar inscripto en la actividad que se presenta.</w:t>
      </w:r>
    </w:p>
    <w:p>
      <w:pPr>
        <w:pStyle w:val="Normal"/>
        <w:numPr>
          <w:ilvl w:val="0"/>
          <w:numId w:val="2"/>
        </w:numPr>
        <w:spacing w:lineRule="auto" w:line="252" w:before="0" w:after="0"/>
        <w:contextualSpacing/>
        <w:jc w:val="both"/>
        <w:rPr/>
      </w:pPr>
      <w:r>
        <w:rPr>
          <w:rFonts w:eastAsia="Tahoma" w:cs="Tahoma" w:ascii="Tahoma" w:hAnsi="Tahoma"/>
          <w:sz w:val="22"/>
          <w:szCs w:val="22"/>
          <w:lang w:val="es-ES_tradnl"/>
        </w:rPr>
        <w:t xml:space="preserve"> </w:t>
      </w:r>
      <w:r>
        <w:rPr>
          <w:rFonts w:cs="Tahoma" w:ascii="Tahoma" w:hAnsi="Tahoma"/>
          <w:sz w:val="22"/>
        </w:rPr>
        <w:t>Cuando se trate de personas jurídicas:</w:t>
      </w:r>
    </w:p>
    <w:p>
      <w:pPr>
        <w:pStyle w:val="Normal"/>
        <w:numPr>
          <w:ilvl w:val="0"/>
          <w:numId w:val="0"/>
        </w:numPr>
        <w:spacing w:lineRule="auto" w:line="252" w:before="0" w:after="29"/>
        <w:ind w:left="360" w:right="0" w:hanging="0"/>
        <w:jc w:val="both"/>
        <w:rPr>
          <w:rFonts w:ascii="Tahoma" w:hAnsi="Tahoma" w:cs="Tahoma"/>
          <w:sz w:val="22"/>
        </w:rPr>
      </w:pPr>
      <w:r>
        <w:rPr>
          <w:rFonts w:cs="Tahoma" w:ascii="Tahoma" w:hAnsi="Tahoma"/>
          <w:sz w:val="22"/>
        </w:rPr>
        <w:t>*Copia de sus instrumentos constitutivos y modificatorios.</w:t>
      </w:r>
    </w:p>
    <w:p>
      <w:pPr>
        <w:pStyle w:val="Normal"/>
        <w:numPr>
          <w:ilvl w:val="0"/>
          <w:numId w:val="0"/>
        </w:numPr>
        <w:spacing w:lineRule="auto" w:line="252" w:before="0" w:after="29"/>
        <w:ind w:left="360" w:right="0" w:hanging="0"/>
        <w:jc w:val="both"/>
        <w:rPr>
          <w:rFonts w:ascii="Tahoma" w:hAnsi="Tahoma" w:cs="Tahoma"/>
          <w:sz w:val="22"/>
        </w:rPr>
      </w:pPr>
      <w:r>
        <w:rPr>
          <w:rFonts w:cs="Tahoma" w:ascii="Tahoma" w:hAnsi="Tahoma"/>
          <w:sz w:val="22"/>
        </w:rPr>
        <w:t>*Copia de los instrumentos que acrediten la capacidad del o los firmantes para obligarle.</w:t>
      </w:r>
    </w:p>
    <w:p>
      <w:pPr>
        <w:pStyle w:val="Normal"/>
        <w:numPr>
          <w:ilvl w:val="0"/>
          <w:numId w:val="0"/>
        </w:numPr>
        <w:spacing w:lineRule="auto" w:line="252" w:before="0" w:after="29"/>
        <w:ind w:left="360" w:right="0" w:hanging="0"/>
        <w:jc w:val="both"/>
        <w:rPr>
          <w:rFonts w:ascii="Tahoma" w:hAnsi="Tahoma" w:cs="Tahoma"/>
          <w:sz w:val="22"/>
        </w:rPr>
      </w:pPr>
      <w:r>
        <w:rPr>
          <w:rFonts w:cs="Tahoma" w:ascii="Tahoma" w:hAnsi="Tahoma"/>
          <w:sz w:val="22"/>
        </w:rPr>
        <w:t>*Nota con carácter de declaración jurada donde se manifiesta que la persona jurídica se encuentra vigente y que los poderes de los firmantes subsisten a la fecha de presentación de las propuestas.</w:t>
      </w:r>
    </w:p>
    <w:p>
      <w:pPr>
        <w:pStyle w:val="Normal"/>
        <w:numPr>
          <w:ilvl w:val="0"/>
          <w:numId w:val="0"/>
        </w:numPr>
        <w:spacing w:lineRule="auto" w:line="252" w:before="0" w:after="29"/>
        <w:ind w:left="360" w:right="0" w:hanging="0"/>
        <w:jc w:val="both"/>
        <w:rPr>
          <w:rFonts w:ascii="Tahoma" w:hAnsi="Tahoma" w:cs="Tahoma"/>
          <w:sz w:val="22"/>
        </w:rPr>
      </w:pPr>
      <w:r>
        <w:rPr>
          <w:rFonts w:cs="Tahoma" w:ascii="Tahoma" w:hAnsi="Tahoma"/>
          <w:sz w:val="22"/>
        </w:rPr>
        <w:t>*El término de vigencia de la sociedad deberá ser mayor en un año al plazo de entrega.</w:t>
      </w:r>
    </w:p>
    <w:p>
      <w:pPr>
        <w:pStyle w:val="Normal"/>
        <w:spacing w:lineRule="auto" w:line="252" w:before="0" w:after="0"/>
        <w:contextualSpacing/>
        <w:jc w:val="both"/>
        <w:rPr>
          <w:rFonts w:ascii="Tahoma" w:hAnsi="Tahoma" w:cs="Tahoma"/>
          <w:sz w:val="22"/>
        </w:rPr>
      </w:pPr>
      <w:r>
        <w:rPr>
          <w:rFonts w:cs="Tahoma" w:ascii="Tahoma" w:hAnsi="Tahoma"/>
          <w:sz w:val="22"/>
        </w:rPr>
      </w:r>
    </w:p>
    <w:p>
      <w:pPr>
        <w:pStyle w:val="Normal"/>
        <w:spacing w:before="0" w:after="29"/>
        <w:jc w:val="both"/>
        <w:rPr/>
      </w:pPr>
      <w:r>
        <w:rPr>
          <w:rFonts w:cs="Tahoma" w:ascii="Tahoma" w:hAnsi="Tahoma"/>
          <w:b w:val="false"/>
          <w:bCs w:val="false"/>
          <w:sz w:val="22"/>
          <w:szCs w:val="22"/>
        </w:rPr>
        <w:t xml:space="preserve">2º) </w:t>
      </w:r>
      <w:r>
        <w:rPr>
          <w:rFonts w:cs="Tahoma" w:ascii="Tahoma" w:hAnsi="Tahoma"/>
          <w:b w:val="false"/>
          <w:bCs w:val="false"/>
          <w:sz w:val="22"/>
          <w:szCs w:val="22"/>
          <w:u w:val="single"/>
        </w:rPr>
        <w:t>La propuesta</w:t>
      </w:r>
      <w:r>
        <w:rPr>
          <w:rFonts w:cs="Tahoma" w:ascii="Tahoma" w:hAnsi="Tahoma"/>
          <w:b w:val="false"/>
          <w:bCs w:val="false"/>
          <w:sz w:val="22"/>
          <w:szCs w:val="22"/>
        </w:rPr>
        <w:t>,</w:t>
      </w:r>
      <w:r>
        <w:rPr>
          <w:rFonts w:cs="Tahoma" w:ascii="Tahoma" w:hAnsi="Tahoma"/>
          <w:sz w:val="22"/>
          <w:szCs w:val="22"/>
        </w:rPr>
        <w:t xml:space="preserve"> deberá contener lo siguiente: La propuesta de precio en el formulario oficial o formulario propio, por duplicado. Esta deberá ser clara, incondicional y sujeta en su totalidad al pliego de condiciones generales y particulares.</w:t>
      </w:r>
    </w:p>
    <w:p>
      <w:pPr>
        <w:pStyle w:val="Normal"/>
        <w:spacing w:before="0" w:after="29"/>
        <w:jc w:val="both"/>
        <w:rPr>
          <w:rFonts w:ascii="Tahoma" w:hAnsi="Tahoma" w:cs="Tahoma"/>
          <w:b w:val="false"/>
          <w:b w:val="false"/>
          <w:bCs w:val="false"/>
          <w:sz w:val="22"/>
          <w:szCs w:val="22"/>
          <w:lang w:val="es-ES_tradnl"/>
        </w:rPr>
      </w:pPr>
      <w:r>
        <w:rPr>
          <w:rFonts w:cs="Tahoma" w:ascii="Tahoma" w:hAnsi="Tahoma"/>
          <w:b w:val="false"/>
          <w:bCs w:val="false"/>
          <w:sz w:val="22"/>
          <w:szCs w:val="22"/>
          <w:lang w:val="es-ES_tradnl"/>
        </w:rPr>
        <w:t>En caso que el oferente optare por no cotizar en el formulario oficial, éste deberá ser igualmente firmado, previo agregado de que se cotiza por separado, escrito a mano escrita o a máquina, (deberá ser legible la propuesta en el caso de presentarla a mano escrita). Los renglones que no se coticen deberán ser inutilizados. El precio se entenderá con IVA incluido</w:t>
      </w:r>
    </w:p>
    <w:p>
      <w:pPr>
        <w:pStyle w:val="Normal"/>
        <w:jc w:val="both"/>
        <w:rPr/>
      </w:pPr>
      <w:r>
        <w:rPr/>
      </w:r>
    </w:p>
    <w:p>
      <w:pPr>
        <w:pStyle w:val="Normal"/>
        <w:spacing w:before="0" w:after="0"/>
        <w:jc w:val="both"/>
        <w:rPr/>
      </w:pPr>
      <w:r>
        <w:rPr>
          <w:rFonts w:cs="Tahoma" w:ascii="Tahoma" w:hAnsi="Tahoma"/>
          <w:b/>
          <w:color w:val="000000"/>
          <w:sz w:val="22"/>
          <w:shd w:fill="auto" w:val="clear"/>
        </w:rPr>
        <w:t>Artículo 6 – Causales de rechazo</w:t>
      </w:r>
      <w:r>
        <w:rPr>
          <w:rFonts w:cs="Tahoma" w:ascii="Tahoma" w:hAnsi="Tahoma"/>
          <w:color w:val="000000"/>
          <w:sz w:val="22"/>
          <w:shd w:fill="auto" w:val="clear"/>
        </w:rPr>
        <w:t>: C</w:t>
      </w:r>
      <w:r>
        <w:rPr>
          <w:rFonts w:cs="Tahoma" w:ascii="Tahoma" w:hAnsi="Tahoma"/>
          <w:color w:val="000000"/>
          <w:sz w:val="22"/>
        </w:rPr>
        <w:t>onstituyen causas que obstan automáticamente a la admisibilidad formal de las propuestas:</w:t>
      </w:r>
    </w:p>
    <w:p>
      <w:pPr>
        <w:pStyle w:val="Normal"/>
        <w:numPr>
          <w:ilvl w:val="0"/>
          <w:numId w:val="3"/>
        </w:numPr>
        <w:spacing w:before="0" w:after="0"/>
        <w:jc w:val="both"/>
        <w:rPr>
          <w:rFonts w:ascii="Tahoma" w:hAnsi="Tahoma" w:cs="Tahoma"/>
          <w:color w:val="000000"/>
          <w:sz w:val="22"/>
        </w:rPr>
      </w:pPr>
      <w:r>
        <w:rPr>
          <w:rFonts w:cs="Tahoma" w:ascii="Tahoma" w:hAnsi="Tahoma"/>
          <w:color w:val="000000"/>
          <w:sz w:val="22"/>
        </w:rPr>
        <w:t>La omisión de los recaudos básicos enumerados en el art. 6.</w:t>
      </w:r>
    </w:p>
    <w:p>
      <w:pPr>
        <w:pStyle w:val="Normal"/>
        <w:spacing w:before="0" w:after="0"/>
        <w:jc w:val="both"/>
        <w:rPr>
          <w:rFonts w:ascii="Tahoma" w:hAnsi="Tahoma" w:cs="Tahoma"/>
          <w:sz w:val="22"/>
        </w:rPr>
      </w:pPr>
      <w:r>
        <w:rPr>
          <w:rFonts w:cs="Tahoma" w:ascii="Tahoma" w:hAnsi="Tahoma"/>
          <w:sz w:val="22"/>
        </w:rPr>
        <w:t>Si en el momento de examinarse las propuestas se advirtiera el incumplimiento de alguno de los requisitos formales exigidos que no modifiquen las bases de la licitación, podrá resolverse “in situ” la aceptación siempre que se encuentre presente el interesado y lo consienta la mayoría simple de los concurrentes.-</w:t>
      </w:r>
    </w:p>
    <w:p>
      <w:pPr>
        <w:pStyle w:val="Normal"/>
        <w:spacing w:before="0" w:after="0"/>
        <w:jc w:val="both"/>
        <w:rPr>
          <w:rFonts w:ascii="Tahoma" w:hAnsi="Tahoma" w:cs="Tahoma"/>
          <w:sz w:val="22"/>
        </w:rPr>
      </w:pPr>
      <w:r>
        <w:rPr>
          <w:rFonts w:cs="Tahoma" w:ascii="Tahoma" w:hAnsi="Tahoma"/>
          <w:sz w:val="22"/>
        </w:rPr>
        <w:t>No serán admitidas las propuestas que incluyan documentación o copia de ella emitida como “Fax”.</w:t>
      </w:r>
    </w:p>
    <w:p>
      <w:pPr>
        <w:pStyle w:val="Normal"/>
        <w:spacing w:before="0" w:after="0"/>
        <w:jc w:val="both"/>
        <w:rPr>
          <w:rFonts w:ascii="Tahoma" w:hAnsi="Tahoma" w:cs="Tahoma"/>
          <w:sz w:val="22"/>
          <w:szCs w:val="22"/>
        </w:rPr>
      </w:pPr>
      <w:r>
        <w:rPr>
          <w:rFonts w:cs="Tahoma" w:ascii="Tahoma" w:hAnsi="Tahoma"/>
          <w:sz w:val="22"/>
          <w:szCs w:val="22"/>
        </w:rPr>
        <w:t xml:space="preserve">En el caso de detectar alguna omisión que se encuadre en las excepciones que menciona el art. 149 del Decreto Reglamentario 1.000/2.015, en el acto de apertura se procederá a emplazar al oferente para que en el plazo de tres (3) días hábiles a contar desde el día siguiente de la notificación proceda a su subsanación. </w:t>
      </w:r>
    </w:p>
    <w:p>
      <w:pPr>
        <w:pStyle w:val="Normal"/>
        <w:spacing w:before="0" w:after="86"/>
        <w:jc w:val="both"/>
        <w:rPr>
          <w:rFonts w:ascii="Tahoma" w:hAnsi="Tahoma" w:cs="Tahoma"/>
          <w:b w:val="false"/>
          <w:b w:val="false"/>
          <w:bCs w:val="false"/>
          <w:i w:val="false"/>
          <w:i w:val="false"/>
          <w:iCs w:val="false"/>
          <w:color w:val="000000"/>
          <w:sz w:val="22"/>
          <w:szCs w:val="22"/>
          <w:lang w:val="es-ES_tradnl"/>
        </w:rPr>
      </w:pPr>
      <w:r>
        <w:rPr>
          <w:rFonts w:cs="Tahoma" w:ascii="Tahoma" w:hAnsi="Tahoma"/>
          <w:b w:val="false"/>
          <w:bCs w:val="false"/>
          <w:i w:val="false"/>
          <w:iCs w:val="false"/>
          <w:color w:val="000000"/>
          <w:sz w:val="22"/>
          <w:szCs w:val="22"/>
          <w:lang w:val="es-ES_tradnl"/>
        </w:rPr>
        <w:t>En ningún caso será subsanable la documentación solicitada en el artículo 6 del presente pliego, en el punto 1 inciso a) (garantía de oferta) y en el punto 2 (propuesta).-</w:t>
      </w:r>
    </w:p>
    <w:p>
      <w:pPr>
        <w:pStyle w:val="Normal"/>
        <w:spacing w:before="0" w:after="86"/>
        <w:jc w:val="both"/>
        <w:rPr>
          <w:szCs w:val="22"/>
          <w:lang w:val="es-ES_tradnl"/>
        </w:rPr>
      </w:pPr>
      <w:r>
        <w:rPr>
          <w:szCs w:val="22"/>
          <w:lang w:val="es-ES_tradnl"/>
        </w:rPr>
      </w:r>
    </w:p>
    <w:p>
      <w:pPr>
        <w:pStyle w:val="Normal"/>
        <w:spacing w:lineRule="atLeast" w:line="283" w:before="0" w:after="29"/>
        <w:jc w:val="both"/>
        <w:rPr/>
      </w:pPr>
      <w:r>
        <w:rPr>
          <w:rFonts w:cs="Tahoma" w:ascii="Tahoma" w:hAnsi="Tahoma"/>
          <w:b/>
          <w:i/>
          <w:sz w:val="22"/>
          <w:szCs w:val="22"/>
          <w:lang w:val="es-ES_tradnl"/>
        </w:rPr>
        <w:t>Artículo 7 –  Duración</w:t>
      </w:r>
      <w:r>
        <w:rPr>
          <w:rFonts w:eastAsia="Calibri" w:cs="Arial" w:ascii="Arial" w:hAnsi="Arial"/>
          <w:b/>
          <w:bCs/>
        </w:rPr>
        <w:t>:</w:t>
      </w:r>
      <w:r>
        <w:rPr>
          <w:rFonts w:eastAsia="Calibri" w:cs="Arial" w:ascii="Arial" w:hAnsi="Arial"/>
        </w:rPr>
        <w:t xml:space="preserve"> El plazo de vigencia de la cobertura, en todos los items,  será de trescientos sesenta y cinco días (365), pudiendo ser prorrogado por un lapso de hasta 3 (tres) meses si así lo estimara conveniente el Municipio, bajo idénticas condiciones a las pactadas en la presente licitación.</w:t>
      </w:r>
    </w:p>
    <w:p>
      <w:pPr>
        <w:pStyle w:val="Normal"/>
        <w:jc w:val="both"/>
        <w:rPr>
          <w:rFonts w:ascii="Arial" w:hAnsi="Arial" w:eastAsia="Calibri" w:cs="Arial"/>
          <w:b/>
          <w:b/>
          <w:bCs/>
        </w:rPr>
      </w:pPr>
      <w:r>
        <w:rPr>
          <w:rFonts w:eastAsia="Calibri" w:cs="Arial" w:ascii="Arial" w:hAnsi="Arial"/>
          <w:b/>
          <w:bCs/>
        </w:rPr>
      </w:r>
    </w:p>
    <w:p>
      <w:pPr>
        <w:pStyle w:val="Normal"/>
        <w:jc w:val="both"/>
        <w:rPr/>
      </w:pPr>
      <w:r>
        <w:rPr>
          <w:rFonts w:eastAsia="Calibri" w:cs="Arial" w:ascii="Tahoma" w:hAnsi="Tahoma"/>
          <w:b/>
          <w:bCs/>
          <w:i/>
          <w:iCs/>
        </w:rPr>
        <w:t>Artículo 8 – Información:</w:t>
      </w:r>
      <w:r>
        <w:rPr>
          <w:rFonts w:eastAsia="Calibri" w:cs="Arial" w:ascii="Arial" w:hAnsi="Arial"/>
        </w:rPr>
        <w:t xml:space="preserve"> El oferente podrá solicitar a la Municipalidad toda la información relativa al personal u oficinas y realizar todas las verificaciones necesarias en las dependencias del Municipio a efectos de elaborar su propuesta conforme a tal situación y a la normativa vigente.</w:t>
      </w:r>
    </w:p>
    <w:p>
      <w:pPr>
        <w:pStyle w:val="Normal"/>
        <w:spacing w:before="0" w:after="0"/>
        <w:jc w:val="both"/>
        <w:rPr/>
      </w:pPr>
      <w:r>
        <w:rPr>
          <w:rFonts w:eastAsia="Calibri" w:cs="Arial" w:ascii="Tahoma" w:hAnsi="Tahoma"/>
          <w:b/>
          <w:bCs/>
        </w:rPr>
        <w:t xml:space="preserve">Artículo 9 </w:t>
      </w:r>
      <w:r>
        <w:rPr>
          <w:rFonts w:cs="Arial" w:ascii="Tahoma" w:hAnsi="Tahoma"/>
          <w:b/>
          <w:color w:val="000000"/>
        </w:rPr>
        <w:t>–  Condiciones de Pago</w:t>
      </w:r>
      <w:r>
        <w:rPr>
          <w:rFonts w:cs="Arial" w:ascii="Arial" w:hAnsi="Arial"/>
          <w:b/>
          <w:color w:val="000000"/>
        </w:rPr>
        <w:t xml:space="preserve">: </w:t>
      </w:r>
      <w:r>
        <w:rPr>
          <w:rFonts w:cs="Arial" w:ascii="Arial" w:hAnsi="Arial"/>
          <w:color w:val="000000"/>
        </w:rPr>
        <w:t>Previa conformidad de la Municipalidad, el pago será efectuado dentro de los treinta (30) días de la presentación de la factura respectiva.</w:t>
      </w:r>
    </w:p>
    <w:p>
      <w:pPr>
        <w:pStyle w:val="Normal"/>
        <w:spacing w:before="0" w:after="0"/>
        <w:jc w:val="both"/>
        <w:rPr/>
      </w:pPr>
      <w:r>
        <w:rPr>
          <w:rFonts w:cs="Tahoma" w:ascii="Tahoma" w:hAnsi="Tahoma"/>
          <w:bCs/>
          <w:color w:val="000000"/>
          <w:sz w:val="22"/>
          <w:szCs w:val="22"/>
          <w:shd w:fill="auto" w:val="clear"/>
        </w:rPr>
        <w:t xml:space="preserve">El Municipio se reserva el derecho de realizar pagos parciales por entregas parciales. </w:t>
      </w:r>
    </w:p>
    <w:p>
      <w:pPr>
        <w:pStyle w:val="Normal"/>
        <w:spacing w:before="0" w:after="0"/>
        <w:jc w:val="both"/>
        <w:rPr/>
      </w:pPr>
      <w:r>
        <w:rPr>
          <w:rFonts w:cs="Tahoma" w:ascii="Tahoma" w:hAnsi="Tahoma"/>
          <w:b w:val="false"/>
          <w:bCs w:val="false"/>
          <w:sz w:val="22"/>
          <w:szCs w:val="22"/>
          <w:shd w:fill="auto" w:val="clear"/>
        </w:rPr>
        <w:t xml:space="preserve">Debiendo presentar en la oficina de Compras y Suministros la siguiente documentación en formato papel: constancia de ATM vigente al momento de la facturación, constancia de CBU, comprobante de pago de sellado, comprobante de garantía de adjudicación y en formato digital (PDF) la factura original al siguiente correo electrónico: </w:t>
      </w:r>
      <w:hyperlink r:id="rId3">
        <w:r>
          <w:rPr>
            <w:rStyle w:val="EnlacedeInternet"/>
            <w:rFonts w:cs="Tahoma" w:ascii="Tahoma" w:hAnsi="Tahoma"/>
            <w:b w:val="false"/>
            <w:bCs w:val="false"/>
            <w:sz w:val="22"/>
            <w:szCs w:val="22"/>
            <w:shd w:fill="auto" w:val="clear"/>
          </w:rPr>
          <w:t>compras@lavallemendoza.gob.ar</w:t>
        </w:r>
      </w:hyperlink>
      <w:r>
        <w:rPr>
          <w:rFonts w:cs="Tahoma" w:ascii="Tahoma" w:hAnsi="Tahoma"/>
          <w:b w:val="false"/>
          <w:bCs w:val="false"/>
          <w:sz w:val="22"/>
          <w:szCs w:val="22"/>
          <w:shd w:fill="auto" w:val="clear"/>
        </w:rPr>
        <w:t xml:space="preserve"> .</w:t>
      </w:r>
    </w:p>
    <w:p>
      <w:pPr>
        <w:pStyle w:val="Normal"/>
        <w:spacing w:before="0" w:after="143"/>
        <w:jc w:val="both"/>
        <w:rPr>
          <w:rFonts w:ascii="Arial" w:hAnsi="Arial" w:cs="Arial"/>
          <w:color w:val="000000"/>
        </w:rPr>
      </w:pPr>
      <w:r>
        <w:rPr>
          <w:rFonts w:cs="Arial" w:ascii="Arial" w:hAnsi="Arial"/>
          <w:color w:val="000000"/>
        </w:rPr>
      </w:r>
    </w:p>
    <w:p>
      <w:pPr>
        <w:pStyle w:val="Normal"/>
        <w:spacing w:before="0" w:after="0"/>
        <w:jc w:val="both"/>
        <w:rPr/>
      </w:pPr>
      <w:r>
        <w:rPr>
          <w:rFonts w:cs="Tahoma" w:ascii="Tahoma" w:hAnsi="Tahoma"/>
          <w:b/>
          <w:i/>
          <w:iCs/>
          <w:sz w:val="22"/>
        </w:rPr>
        <w:t>Artículo 10 -  Garantía de adjudicación</w:t>
      </w:r>
      <w:r>
        <w:rPr>
          <w:rFonts w:cs="Tahoma" w:ascii="Tahoma" w:hAnsi="Tahoma"/>
          <w:i/>
          <w:iCs/>
          <w:sz w:val="22"/>
        </w:rPr>
        <w:t>:</w:t>
      </w:r>
      <w:r>
        <w:rPr>
          <w:rFonts w:cs="Tahoma" w:ascii="Tahoma" w:hAnsi="Tahoma"/>
          <w:i/>
          <w:sz w:val="22"/>
        </w:rPr>
        <w:t xml:space="preserve"> </w:t>
      </w:r>
      <w:r>
        <w:rPr>
          <w:rFonts w:cs="Tahoma" w:ascii="Tahoma" w:hAnsi="Tahoma"/>
          <w:sz w:val="22"/>
        </w:rPr>
        <w:t>Resuelta la adjudicación y como condición previa a la firma del respectivo contrato, el adjudicatario deberá constituir una garantía de adjudicación equivalente al Cinco Por Ciento (5%) del monto adjudicado, la que podrá realizarse en dinero en efectivo ingresado por Tesorería Municipal, títulos de la deuda pública nacional o provincial, fianza bancaria, seguro de caución o pagare.</w:t>
      </w:r>
    </w:p>
    <w:p>
      <w:pPr>
        <w:pStyle w:val="Normal"/>
        <w:spacing w:before="0" w:after="0"/>
        <w:jc w:val="both"/>
        <w:rPr/>
      </w:pPr>
      <w:r>
        <w:rPr>
          <w:rFonts w:cs="Tahoma" w:ascii="Tahoma" w:hAnsi="Tahoma"/>
          <w:sz w:val="22"/>
        </w:rPr>
        <w:t>La garantía de adjudicación será devuelta mediante el trámite correspondiente, una vez que la dependencia municipal correspondiente otorgue su conformidad al servicio prestado una vez cumplidos los plazos estipulados para la prestación y demás condiciones del contrato.</w:t>
      </w:r>
    </w:p>
    <w:p>
      <w:pPr>
        <w:pStyle w:val="Normal"/>
        <w:jc w:val="both"/>
        <w:rPr>
          <w:rFonts w:ascii="Tahoma" w:hAnsi="Tahoma" w:cs="Tahoma"/>
          <w:b/>
          <w:b/>
          <w:sz w:val="22"/>
        </w:rPr>
      </w:pPr>
      <w:r>
        <w:rPr>
          <w:rFonts w:cs="Tahoma" w:ascii="Tahoma" w:hAnsi="Tahoma"/>
          <w:b/>
          <w:sz w:val="22"/>
        </w:rPr>
      </w:r>
    </w:p>
    <w:p>
      <w:pPr>
        <w:pStyle w:val="Normal"/>
        <w:jc w:val="both"/>
        <w:rPr/>
      </w:pPr>
      <w:r>
        <w:rPr>
          <w:rFonts w:cs="Tahoma" w:ascii="Tahoma" w:hAnsi="Tahoma"/>
          <w:b/>
          <w:sz w:val="22"/>
        </w:rPr>
        <w:t>Artículo 11 -</w:t>
      </w:r>
      <w:r>
        <w:rPr>
          <w:rFonts w:cs="Tahoma" w:ascii="Tahoma" w:hAnsi="Tahoma"/>
          <w:sz w:val="22"/>
        </w:rPr>
        <w:t xml:space="preserve"> </w:t>
      </w:r>
      <w:r>
        <w:rPr>
          <w:rFonts w:cs="Tahoma" w:ascii="Tahoma" w:hAnsi="Tahoma"/>
          <w:b/>
          <w:i/>
          <w:sz w:val="22"/>
        </w:rPr>
        <w:t>Régimen jurídico</w:t>
      </w:r>
      <w:r>
        <w:rPr>
          <w:rFonts w:cs="Tahoma" w:ascii="Tahoma" w:hAnsi="Tahoma"/>
          <w:i/>
          <w:sz w:val="22"/>
        </w:rPr>
        <w:t>:</w:t>
      </w:r>
      <w:r>
        <w:rPr>
          <w:rFonts w:cs="Tahoma" w:ascii="Tahoma" w:hAnsi="Tahoma"/>
          <w:sz w:val="22"/>
        </w:rPr>
        <w:t xml:space="preserve"> En todo cuanto no esté previsto en los Pliegos de Condiciones Generales y Particulares, sus anexos, aclaraciones y demás documentación que se haya incorporado a los mismos, serán de aplicación - en lo pertinente - las disposiciones de la Ley Nº 8706, Decreto - Acuerdo de Gastos y Adquisiciones (7061), Orgánica de Municipalidades (1079), sus modificaciones y demás leyes y reglamentaciones que resulten aplicables. Regirán también los conceptos doctrinarios en la materia y los principios del Derecho Administrativo Argentino.</w:t>
      </w:r>
    </w:p>
    <w:p>
      <w:pPr>
        <w:pStyle w:val="Normal"/>
        <w:spacing w:before="0" w:after="200"/>
        <w:jc w:val="both"/>
        <w:rPr>
          <w:rFonts w:ascii="Tahoma" w:hAnsi="Tahoma" w:cs="Tahoma"/>
          <w:b/>
          <w:b/>
          <w:sz w:val="22"/>
          <w:lang w:val="es-ES_tradnl"/>
        </w:rPr>
      </w:pPr>
      <w:r>
        <w:rPr/>
      </w:r>
    </w:p>
    <w:sectPr>
      <w:headerReference w:type="default" r:id="rId4"/>
      <w:footerReference w:type="even" r:id="rId5"/>
      <w:footerReference w:type="default" r:id="rId6"/>
      <w:footerReference w:type="first" r:id="rId7"/>
      <w:type w:val="nextPage"/>
      <w:pgSz w:w="12240" w:h="15840"/>
      <w:pgMar w:left="1701" w:right="1183" w:gutter="0" w:header="709" w:top="2552" w:footer="709" w:bottom="1418"/>
      <w:pgNumType w:start="0"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Segoe UI">
    <w:charset w:val="00"/>
    <w:family w:val="roman"/>
    <w:pitch w:val="variable"/>
  </w:font>
  <w:font w:name="Rockwell">
    <w:charset w:val="00"/>
    <w:family w:val="roman"/>
    <w:pitch w:val="variable"/>
  </w:font>
  <w:font w:name="OpenSymbol">
    <w:altName w:val="Arial Unicode MS"/>
    <w:charset w:val="00"/>
    <w:family w:val="roman"/>
    <w:pitch w:val="variable"/>
  </w:font>
  <w:font w:name="Symbol">
    <w:charset w:val="00"/>
    <w:family w:val="roman"/>
    <w:pitch w:val="variable"/>
  </w:font>
  <w:font w:name="Liberation Sans">
    <w:altName w:val="Arial"/>
    <w:charset w:val="00"/>
    <w:family w:val="roman"/>
    <w:pitch w:val="variable"/>
  </w:font>
  <w:font w:name="Tahoma">
    <w:charset w:val="00"/>
    <w:family w:val="roman"/>
    <w:pitch w:val="variable"/>
  </w:font>
  <w:font w:name="Elephant">
    <w:charset w:val="00"/>
    <w:family w:val="roman"/>
    <w:pitch w:val="variable"/>
  </w:font>
  <w:font w:name="Arial">
    <w:charset w:val="00"/>
    <w:family w:val="roman"/>
    <w:pitch w:val="variable"/>
  </w:font>
  <w:font w:name="Arial Black">
    <w:charset w:val="00"/>
    <w:family w:val="roman"/>
    <w:pitch w:val="variable"/>
  </w:font>
  <w:font w:name="Arial Narrow">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Piedepgina"/>
      <w:ind w:right="360" w:hanging="0"/>
      <w:rPr/>
    </w:pPr>
    <w:r>
      <w:rPr/>
      <mc:AlternateContent>
        <mc:Choice Requires="wps">
          <w:drawing>
            <wp:anchor behindDoc="1" distT="0" distB="0" distL="0" distR="0" simplePos="0" locked="0" layoutInCell="0" allowOverlap="1" relativeHeight="12">
              <wp:simplePos x="0" y="0"/>
              <wp:positionH relativeFrom="margin">
                <wp:align>right</wp:align>
              </wp:positionH>
              <wp:positionV relativeFrom="paragraph">
                <wp:posOffset>635</wp:posOffset>
              </wp:positionV>
              <wp:extent cx="14605" cy="14605"/>
              <wp:effectExtent l="0" t="0" r="0" b="0"/>
              <wp:wrapNone/>
              <wp:docPr id="3" name="Marco1"/>
              <a:graphic xmlns:a="http://schemas.openxmlformats.org/drawingml/2006/main">
                <a:graphicData uri="http://schemas.microsoft.com/office/word/2010/wordprocessingShape">
                  <wps:wsp>
                    <wps:cNvSpPr/>
                    <wps:spPr>
                      <a:xfrm>
                        <a:off x="0" y="0"/>
                        <a:ext cx="14760" cy="14760"/>
                      </a:xfrm>
                      <a:prstGeom prst="rect">
                        <a:avLst/>
                      </a:prstGeom>
                      <a:noFill/>
                      <a:ln w="0">
                        <a:noFill/>
                      </a:ln>
                    </wps:spPr>
                    <wps:style>
                      <a:lnRef idx="0"/>
                      <a:fillRef idx="0"/>
                      <a:effectRef idx="0"/>
                      <a:fontRef idx="minor"/>
                    </wps:style>
                    <wps:txbx>
                      <w:txbxContent>
                        <w:p>
                          <w:pPr>
                            <w:pStyle w:val="Piedepgina"/>
                            <w:rPr>
                              <w:rStyle w:val="Pagenumber"/>
                            </w:rPr>
                          </w:pP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color w:val="000000"/>
                            </w:rPr>
                            <w:t>0</w:t>
                          </w:r>
                          <w:r>
                            <w:rPr>
                              <w:rStyle w:val="Pagenumber"/>
                              <w:color w:val="000000"/>
                            </w:rPr>
                            <w:fldChar w:fldCharType="end"/>
                          </w:r>
                        </w:p>
                      </w:txbxContent>
                    </wps:txbx>
                    <wps:bodyPr lIns="0" rIns="0" tIns="0" bIns="0" anchor="t">
                      <a:spAutoFit/>
                    </wps:bodyPr>
                  </wps:wsp>
                </a:graphicData>
              </a:graphic>
            </wp:anchor>
          </w:drawing>
        </mc:Choice>
        <mc:Fallback>
          <w:pict>
            <v:rect id="shape_0" ID="Marco1" path="m0,0l-2147483645,0l-2147483645,-2147483646l0,-2147483646xe" stroked="f" o:allowincell="f" style="position:absolute;margin-left:0pt;margin-top:0.05pt;width:1.1pt;height:1.1pt;mso-wrap-style:square;v-text-anchor:top;mso-position-horizontal:right;mso-position-horizontal-relative:margin">
              <v:fill o:detectmouseclick="t" on="false"/>
              <v:stroke color="#3465a4" joinstyle="round" endcap="flat"/>
              <v:textbox>
                <w:txbxContent>
                  <w:p>
                    <w:pPr>
                      <w:pStyle w:val="Piedepgina"/>
                      <w:rPr>
                        <w:rStyle w:val="Pagenumber"/>
                      </w:rPr>
                    </w:pP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color w:val="000000"/>
                      </w:rPr>
                      <w:t>0</w:t>
                    </w:r>
                    <w:r>
                      <w:rPr>
                        <w:rStyle w:val="Pagenumber"/>
                        <w:color w:val="000000"/>
                      </w:rPr>
                      <w:fldChar w:fldCharType="end"/>
                    </w:r>
                  </w:p>
                </w:txbxContent>
              </v:textbox>
              <w10:wrap type="none"/>
            </v:rect>
          </w:pict>
        </mc:Fallback>
      </mc:AlternateConten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Piedepgina"/>
      <w:jc w:val="center"/>
      <w:rPr>
        <w:color w:val="5B9BD5" w:themeColor="accent1"/>
      </w:rPr>
    </w:pPr>
    <w:r>
      <w:rPr>
        <w:color w:val="5B9BD5" w:themeColor="accent1"/>
        <w:lang w:val="es-ES"/>
      </w:rPr>
      <w:t xml:space="preserve">Página </w:t>
    </w:r>
    <w:r>
      <w:rPr>
        <w:color w:val="5B9BD5"/>
      </w:rPr>
      <w:fldChar w:fldCharType="begin"/>
    </w:r>
    <w:r>
      <w:rPr>
        <w:color w:val="5B9BD5"/>
      </w:rPr>
      <w:instrText xml:space="preserve"> PAGE </w:instrText>
    </w:r>
    <w:r>
      <w:rPr>
        <w:color w:val="5B9BD5"/>
      </w:rPr>
      <w:fldChar w:fldCharType="separate"/>
    </w:r>
    <w:r>
      <w:rPr>
        <w:color w:val="5B9BD5"/>
      </w:rPr>
      <w:t>4</w:t>
    </w:r>
    <w:r>
      <w:rPr>
        <w:color w:val="5B9BD5"/>
      </w:rPr>
      <w:fldChar w:fldCharType="end"/>
    </w:r>
    <w:r>
      <w:rPr>
        <w:color w:val="5B9BD5" w:themeColor="accent1"/>
        <w:lang w:val="es-ES"/>
      </w:rPr>
      <w:t xml:space="preserve"> de 4</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Piedepgina"/>
      <w:jc w:val="center"/>
      <w:rPr>
        <w:color w:val="5B9BD5" w:themeColor="accent1"/>
      </w:rPr>
    </w:pPr>
    <w:r>
      <w:rPr>
        <w:color w:val="5B9BD5" w:themeColor="accent1"/>
        <w:lang w:val="es-ES"/>
      </w:rPr>
      <w:t xml:space="preserve">Página </w:t>
    </w:r>
    <w:r>
      <w:rPr>
        <w:color w:val="5B9BD5"/>
      </w:rPr>
      <w:fldChar w:fldCharType="begin"/>
    </w:r>
    <w:r>
      <w:rPr>
        <w:color w:val="5B9BD5"/>
      </w:rPr>
      <w:instrText xml:space="preserve"> PAGE </w:instrText>
    </w:r>
    <w:r>
      <w:rPr>
        <w:color w:val="5B9BD5"/>
      </w:rPr>
      <w:fldChar w:fldCharType="separate"/>
    </w:r>
    <w:r>
      <w:rPr>
        <w:color w:val="5B9BD5"/>
      </w:rPr>
      <w:t>4</w:t>
    </w:r>
    <w:r>
      <w:rPr>
        <w:color w:val="5B9BD5"/>
      </w:rPr>
      <w:fldChar w:fldCharType="end"/>
    </w:r>
    <w:r>
      <w:rPr>
        <w:color w:val="5B9BD5" w:themeColor="accent1"/>
        <w:lang w:val="es-ES"/>
      </w:rPr>
      <w:t xml:space="preserve"> de 4</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cera"/>
      <w:tabs>
        <w:tab w:val="left" w:pos="3969" w:leader="none"/>
        <w:tab w:val="center" w:pos="4419" w:leader="none"/>
        <w:tab w:val="left" w:pos="5954" w:leader="none"/>
        <w:tab w:val="right" w:pos="8838" w:leader="none"/>
      </w:tabs>
      <w:ind w:right="3259" w:hanging="0"/>
      <w:rPr>
        <w:rFonts w:ascii="Arial Black" w:hAnsi="Arial Black"/>
      </w:rPr>
    </w:pPr>
    <w:r>
      <w:drawing>
        <wp:anchor behindDoc="1" distT="0" distB="0" distL="114300" distR="114300" simplePos="0" locked="0" layoutInCell="0" allowOverlap="1" relativeHeight="11">
          <wp:simplePos x="0" y="0"/>
          <wp:positionH relativeFrom="column">
            <wp:posOffset>4729480</wp:posOffset>
          </wp:positionH>
          <wp:positionV relativeFrom="paragraph">
            <wp:posOffset>-133350</wp:posOffset>
          </wp:positionV>
          <wp:extent cx="1209675" cy="1203325"/>
          <wp:effectExtent l="0" t="0" r="0" b="0"/>
          <wp:wrapSquare wrapText="bothSides"/>
          <wp:docPr id="1" name="Imagen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
                  <pic:cNvPicPr>
                    <a:picLocks noChangeAspect="1" noChangeArrowheads="1"/>
                  </pic:cNvPicPr>
                </pic:nvPicPr>
                <pic:blipFill>
                  <a:blip r:embed="rId1"/>
                  <a:stretch>
                    <a:fillRect/>
                  </a:stretch>
                </pic:blipFill>
                <pic:spPr bwMode="auto">
                  <a:xfrm>
                    <a:off x="0" y="0"/>
                    <a:ext cx="1209675" cy="1203325"/>
                  </a:xfrm>
                  <a:prstGeom prst="rect">
                    <a:avLst/>
                  </a:prstGeom>
                </pic:spPr>
              </pic:pic>
            </a:graphicData>
          </a:graphic>
        </wp:anchor>
      </w:drawing>
    </w:r>
    <w:r>
      <w:rPr>
        <w:rFonts w:ascii="Arial Black" w:hAnsi="Arial Black"/>
      </w:rPr>
      <w:t>Municipalidad de Lavalle</w:t>
    </w:r>
  </w:p>
  <w:p>
    <w:pPr>
      <w:pStyle w:val="Cabecera"/>
      <w:tabs>
        <w:tab w:val="left" w:pos="3969" w:leader="none"/>
        <w:tab w:val="center" w:pos="4419" w:leader="none"/>
        <w:tab w:val="right" w:pos="8838" w:leader="none"/>
      </w:tabs>
      <w:ind w:right="3259" w:hanging="0"/>
      <w:rPr>
        <w:rFonts w:ascii="Arial Narrow" w:hAnsi="Arial Narrow"/>
        <w:b/>
        <w:b/>
      </w:rPr>
    </w:pPr>
    <w:r>
      <w:rPr>
        <w:rFonts w:ascii="Arial Narrow" w:hAnsi="Arial Narrow"/>
        <w:b/>
      </w:rPr>
      <w:t>Dirección de Compras y Suministros</w:t>
    </w:r>
  </w:p>
  <w:p>
    <w:pPr>
      <w:pStyle w:val="Cabecera"/>
      <w:tabs>
        <w:tab w:val="left" w:pos="3969" w:leader="none"/>
        <w:tab w:val="center" w:pos="4419" w:leader="none"/>
        <w:tab w:val="right" w:pos="8838" w:leader="none"/>
      </w:tabs>
      <w:ind w:right="3259" w:hanging="0"/>
      <w:rPr>
        <w:rFonts w:ascii="Arial" w:hAnsi="Arial"/>
        <w:b/>
        <w:b/>
      </w:rPr>
    </w:pPr>
    <w:r>
      <w:rPr>
        <w:rFonts w:ascii="Arial Narrow" w:hAnsi="Arial Narrow"/>
        <w:b/>
      </w:rPr>
      <w:t xml:space="preserve">COMPRA DIRECTA–  </w:t>
    </w:r>
    <w:r>
      <w:rPr>
        <w:rFonts w:cs="" w:ascii="Arial Narrow" w:hAnsi="Arial Narrow" w:cstheme="minorBidi"/>
        <w:b/>
        <w:shd w:fill="auto" w:val="clear"/>
      </w:rPr>
      <w:t xml:space="preserve">EXPTE. Nº 4291/2026 </w:t>
    </w:r>
    <w:r>
      <w:rPr>
        <w:rFonts w:ascii="Arial Narrow" w:hAnsi="Arial Narrow"/>
        <w:b/>
      </w:rPr>
      <w:t xml:space="preserve">  RESOL.: </w:t>
    </w:r>
    <w:r>
      <w:rPr>
        <w:rFonts w:ascii="Arial Narrow" w:hAnsi="Arial Narrow"/>
        <w:b/>
      </w:rPr>
      <w:t>655</w:t>
    </w:r>
    <w:r>
      <w:rPr>
        <w:rFonts w:ascii="Arial Narrow" w:hAnsi="Arial Narrow"/>
        <w:b/>
      </w:rPr>
      <w:t>/26</w:t>
    </w:r>
  </w:p>
  <w:p>
    <w:pPr>
      <w:pStyle w:val="Cabecera"/>
      <w:tabs>
        <w:tab w:val="center" w:pos="4419" w:leader="none"/>
        <w:tab w:val="left" w:pos="6237" w:leader="none"/>
        <w:tab w:val="left" w:pos="6379" w:leader="none"/>
        <w:tab w:val="right" w:pos="8838" w:leader="none"/>
      </w:tabs>
      <w:ind w:right="3259" w:hanging="0"/>
      <w:rPr>
        <w:sz w:val="18"/>
        <w:lang w:val="es-ES_tradnl"/>
      </w:rPr>
    </w:pPr>
    <w:r>
      <w:rPr>
        <w:sz w:val="18"/>
        <w:lang w:val="es-ES_tradnl"/>
      </w:rPr>
      <mc:AlternateContent>
        <mc:Choice Requires="wps">
          <w:drawing>
            <wp:anchor behindDoc="1" distT="14605" distB="14605" distL="14605" distR="14605" simplePos="0" locked="0" layoutInCell="0" allowOverlap="1" relativeHeight="6" wp14:anchorId="64136D08">
              <wp:simplePos x="0" y="0"/>
              <wp:positionH relativeFrom="column">
                <wp:posOffset>-62865</wp:posOffset>
              </wp:positionH>
              <wp:positionV relativeFrom="paragraph">
                <wp:posOffset>42545</wp:posOffset>
              </wp:positionV>
              <wp:extent cx="3810000" cy="6985"/>
              <wp:effectExtent l="14605" t="14605" r="14605" b="14605"/>
              <wp:wrapNone/>
              <wp:docPr id="2" name="Line 1"/>
              <a:graphic xmlns:a="http://schemas.openxmlformats.org/drawingml/2006/main">
                <a:graphicData uri="http://schemas.microsoft.com/office/word/2010/wordprocessingShape">
                  <wps:wsp>
                    <wps:cNvSpPr/>
                    <wps:spPr>
                      <a:xfrm flipV="1">
                        <a:off x="0" y="0"/>
                        <a:ext cx="3809880" cy="6840"/>
                      </a:xfrm>
                      <a:prstGeom prst="line">
                        <a:avLst/>
                      </a:prstGeom>
                      <a:ln w="28575">
                        <a:solidFill>
                          <a:srgbClr val="000000"/>
                        </a:solidFill>
                        <a:round/>
                      </a:ln>
                    </wps:spPr>
                    <wps:style>
                      <a:lnRef idx="0"/>
                      <a:fillRef idx="0"/>
                      <a:effectRef idx="0"/>
                      <a:fontRef idx="minor"/>
                    </wps:style>
                    <wps:bodyPr/>
                  </wps:wsp>
                </a:graphicData>
              </a:graphic>
            </wp:anchor>
          </w:drawing>
        </mc:Choice>
        <mc:Fallback>
          <w:pict>
            <v:line id="shape_0" from="-4.95pt,3.35pt" to="295pt,3.85pt" ID="Line 1" stroked="t" o:allowincell="f" style="position:absolute;flip:y" wp14:anchorId="64136D08">
              <v:stroke color="black" weight="28440" joinstyle="round" endcap="flat"/>
              <v:fill o:detectmouseclick="t" on="false"/>
              <w10:wrap type="none"/>
            </v:line>
          </w:pict>
        </mc:Fallback>
      </mc:AlternateContent>
    </w:r>
  </w:p>
  <w:p>
    <w:pPr>
      <w:pStyle w:val="Cabecera"/>
      <w:ind w:right="2409" w:hanging="0"/>
      <w:rPr>
        <w:rFonts w:ascii="Arial Narrow" w:hAnsi="Arial Narrow"/>
        <w:b/>
        <w:b/>
        <w:sz w:val="18"/>
        <w:lang w:val="es-ES_tradnl"/>
      </w:rPr>
    </w:pPr>
    <w:r>
      <w:rPr>
        <w:rFonts w:ascii="Arial Narrow" w:hAnsi="Arial Narrow"/>
        <w:b/>
        <w:sz w:val="18"/>
        <w:lang w:val="es-ES_tradnl"/>
      </w:rPr>
      <w:t xml:space="preserve">Objeto: </w:t>
    </w:r>
    <w:r>
      <w:rPr>
        <w:rFonts w:ascii="Arial Narrow" w:hAnsi="Arial Narrow"/>
        <w:sz w:val="18"/>
        <w:lang w:val="es-ES_tradnl"/>
      </w:rPr>
      <w:t>CONTRATACION DE SEGURO DE RESPONSABILIDAD CIVIL DE ESPACIOS PUBLICOS, POR EL TÉRMINO DE DOCE (12) MESES</w:t>
    </w:r>
  </w:p>
  <w:p>
    <w:pPr>
      <w:pStyle w:val="Cabecera"/>
      <w:ind w:right="2409" w:hanging="0"/>
      <w:rPr>
        <w:rFonts w:ascii="Arial Narrow" w:hAnsi="Arial Narrow"/>
        <w:sz w:val="18"/>
        <w:szCs w:val="18"/>
        <w:lang w:val="es-ES_tradnl"/>
      </w:rPr>
    </w:pPr>
    <w:r>
      <w:rPr>
        <w:rFonts w:ascii="Arial Narrow" w:hAnsi="Arial Narrow"/>
        <w:b/>
        <w:sz w:val="18"/>
        <w:szCs w:val="18"/>
        <w:lang w:val="es-ES_tradnl"/>
      </w:rPr>
      <w:t>Ubicación:</w:t>
    </w:r>
    <w:r>
      <w:rPr>
        <w:rFonts w:ascii="Arial Narrow" w:hAnsi="Arial Narrow"/>
        <w:sz w:val="18"/>
        <w:szCs w:val="18"/>
        <w:lang w:val="es-ES_tradnl"/>
      </w:rPr>
      <w:t xml:space="preserve"> DEPARTAMENTO DE LAVALLE</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lowerLetter"/>
      <w:lvlText w:val="%1)"/>
      <w:lvlJc w:val="left"/>
      <w:pPr>
        <w:tabs>
          <w:tab w:val="num" w:pos="1065"/>
        </w:tabs>
        <w:ind w:left="1065"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
    <w:lvl w:ilvl="0">
      <w:start w:val="1"/>
      <w:numFmt w:val="lowerLetter"/>
      <w:lvlText w:val="%1)"/>
      <w:lvlJc w:val="left"/>
      <w:pPr>
        <w:tabs>
          <w:tab w:val="num" w:pos="360"/>
        </w:tabs>
        <w:ind w:left="360"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hyphenationZone w:val="425"/>
  <w:themeFontLang w:val="es-E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s-ES"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745bd7"/>
    <w:pPr>
      <w:widowControl/>
      <w:suppressAutoHyphens w:val="true"/>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es-AR" w:eastAsia="en-US" w:bidi="ar-SA"/>
    </w:rPr>
  </w:style>
  <w:style w:type="character" w:styleId="DefaultParagraphFont" w:default="1">
    <w:name w:val="Default Paragraph Font"/>
    <w:uiPriority w:val="1"/>
    <w:semiHidden/>
    <w:unhideWhenUsed/>
    <w:qFormat/>
    <w:rPr/>
  </w:style>
  <w:style w:type="character" w:styleId="EncabezadoCar" w:customStyle="1">
    <w:name w:val="Encabezado Car"/>
    <w:basedOn w:val="DefaultParagraphFont"/>
    <w:uiPriority w:val="99"/>
    <w:qFormat/>
    <w:rsid w:val="00f55ad2"/>
    <w:rPr>
      <w:lang w:val="es-AR"/>
    </w:rPr>
  </w:style>
  <w:style w:type="character" w:styleId="PiedepginaCar" w:customStyle="1">
    <w:name w:val="Pie de página Car"/>
    <w:basedOn w:val="DefaultParagraphFont"/>
    <w:uiPriority w:val="99"/>
    <w:qFormat/>
    <w:rsid w:val="00f55ad2"/>
    <w:rPr>
      <w:lang w:val="es-AR"/>
    </w:rPr>
  </w:style>
  <w:style w:type="character" w:styleId="Pagenumber">
    <w:name w:val="page number"/>
    <w:basedOn w:val="DefaultParagraphFont"/>
    <w:semiHidden/>
    <w:qFormat/>
    <w:rsid w:val="00f55ad2"/>
    <w:rPr/>
  </w:style>
  <w:style w:type="character" w:styleId="TextodegloboCar" w:customStyle="1">
    <w:name w:val="Texto de globo Car"/>
    <w:basedOn w:val="DefaultParagraphFont"/>
    <w:link w:val="BalloonText"/>
    <w:uiPriority w:val="99"/>
    <w:semiHidden/>
    <w:qFormat/>
    <w:rsid w:val="00da782f"/>
    <w:rPr>
      <w:rFonts w:ascii="Segoe UI" w:hAnsi="Segoe UI" w:cs="Segoe UI"/>
      <w:sz w:val="18"/>
      <w:szCs w:val="18"/>
      <w:lang w:val="es-AR"/>
    </w:rPr>
  </w:style>
  <w:style w:type="character" w:styleId="Textoindependiente3Car" w:customStyle="1">
    <w:name w:val="Texto independiente 3 Car"/>
    <w:basedOn w:val="DefaultParagraphFont"/>
    <w:link w:val="BodyText3"/>
    <w:qFormat/>
    <w:rsid w:val="00ec4cb7"/>
    <w:rPr>
      <w:rFonts w:ascii="Rockwell" w:hAnsi="Rockwell" w:eastAsia="Times New Roman" w:cs="Times New Roman"/>
      <w:color w:val="FF0000"/>
      <w:sz w:val="24"/>
      <w:szCs w:val="20"/>
      <w:lang w:eastAsia="es-ES"/>
    </w:rPr>
  </w:style>
  <w:style w:type="character" w:styleId="Smbolosdenumeracin">
    <w:name w:val="Símbolos de numeración"/>
    <w:qFormat/>
    <w:rPr/>
  </w:style>
  <w:style w:type="character" w:styleId="Bolos">
    <w:name w:val="Bolos"/>
    <w:qFormat/>
    <w:rPr>
      <w:rFonts w:ascii="OpenSymbol" w:hAnsi="OpenSymbol" w:eastAsia="OpenSymbol" w:cs="OpenSymbol"/>
    </w:rPr>
  </w:style>
  <w:style w:type="character" w:styleId="EnlacedeInternet">
    <w:name w:val="Enlace de Internet"/>
    <w:rPr>
      <w:color w:val="000080"/>
      <w:u w:val="single"/>
    </w:rPr>
  </w:style>
  <w:style w:type="character" w:styleId="WW8Num2z0">
    <w:name w:val="WW8Num2z0"/>
    <w:qFormat/>
    <w:rPr/>
  </w:style>
  <w:style w:type="character" w:styleId="WW8Num4z0">
    <w:name w:val="WW8Num4z0"/>
    <w:qFormat/>
    <w:rPr>
      <w:rFonts w:ascii="Symbol" w:hAnsi="Symbol" w:cs="OpenSymbol;Arial Unicode MS"/>
    </w:rPr>
  </w:style>
  <w:style w:type="paragraph" w:styleId="Ttulo" w:customStyle="1">
    <w:name w:val="Título"/>
    <w:basedOn w:val="Normal"/>
    <w:next w:val="Cuerpodetexto"/>
    <w:qFormat/>
    <w:pPr>
      <w:keepNext w:val="true"/>
      <w:spacing w:before="240" w:after="120"/>
    </w:pPr>
    <w:rPr>
      <w:rFonts w:ascii="Liberation Sans" w:hAnsi="Liberation Sans" w:eastAsia="Microsoft YaHei" w:cs="Arial"/>
      <w:sz w:val="28"/>
      <w:szCs w:val="28"/>
    </w:rPr>
  </w:style>
  <w:style w:type="paragraph" w:styleId="Cuerpodetexto">
    <w:name w:val="Body Text"/>
    <w:basedOn w:val="Normal"/>
    <w:pPr>
      <w:spacing w:before="0" w:after="140"/>
    </w:pPr>
    <w:rPr/>
  </w:style>
  <w:style w:type="paragraph" w:styleId="Lista">
    <w:name w:val="List"/>
    <w:basedOn w:val="Cuerpodetexto"/>
    <w:pPr/>
    <w:rPr>
      <w:rFonts w:cs="Arial"/>
    </w:rPr>
  </w:style>
  <w:style w:type="paragraph" w:styleId="Leyenda">
    <w:name w:val="Caption"/>
    <w:basedOn w:val="Normal"/>
    <w:qFormat/>
    <w:pPr>
      <w:suppressLineNumbers/>
      <w:spacing w:before="120" w:after="120"/>
    </w:pPr>
    <w:rPr>
      <w:rFonts w:cs="Arial"/>
      <w:i/>
      <w:iCs/>
      <w:sz w:val="24"/>
      <w:szCs w:val="24"/>
    </w:rPr>
  </w:style>
  <w:style w:type="paragraph" w:styleId="Ndice" w:customStyle="1">
    <w:name w:val="Índice"/>
    <w:basedOn w:val="Normal"/>
    <w:qFormat/>
    <w:pPr>
      <w:suppressLineNumbers/>
    </w:pPr>
    <w:rPr>
      <w:rFonts w:cs="Arial"/>
    </w:rPr>
  </w:style>
  <w:style w:type="paragraph" w:styleId="Caption1">
    <w:name w:val="caption1"/>
    <w:basedOn w:val="Normal"/>
    <w:qFormat/>
    <w:pPr>
      <w:suppressLineNumbers/>
      <w:spacing w:before="120" w:after="120"/>
    </w:pPr>
    <w:rPr>
      <w:rFonts w:cs="Arial"/>
      <w:i/>
      <w:iCs/>
      <w:sz w:val="24"/>
      <w:szCs w:val="24"/>
    </w:rPr>
  </w:style>
  <w:style w:type="paragraph" w:styleId="Cabeceraypie" w:customStyle="1">
    <w:name w:val="Cabecera y pie"/>
    <w:basedOn w:val="Normal"/>
    <w:qFormat/>
    <w:pPr/>
    <w:rPr/>
  </w:style>
  <w:style w:type="paragraph" w:styleId="Cabecera">
    <w:name w:val="Header"/>
    <w:basedOn w:val="Normal"/>
    <w:link w:val="EncabezadoCar"/>
    <w:uiPriority w:val="99"/>
    <w:unhideWhenUsed/>
    <w:rsid w:val="00f55ad2"/>
    <w:pPr>
      <w:tabs>
        <w:tab w:val="clear" w:pos="708"/>
        <w:tab w:val="center" w:pos="4419" w:leader="none"/>
        <w:tab w:val="right" w:pos="8838" w:leader="none"/>
      </w:tabs>
      <w:spacing w:lineRule="auto" w:line="240" w:before="0" w:after="0"/>
    </w:pPr>
    <w:rPr/>
  </w:style>
  <w:style w:type="paragraph" w:styleId="Piedepgina">
    <w:name w:val="Footer"/>
    <w:basedOn w:val="Normal"/>
    <w:link w:val="PiedepginaCar"/>
    <w:uiPriority w:val="99"/>
    <w:unhideWhenUsed/>
    <w:rsid w:val="00f55ad2"/>
    <w:pPr>
      <w:tabs>
        <w:tab w:val="clear" w:pos="708"/>
        <w:tab w:val="center" w:pos="4419" w:leader="none"/>
        <w:tab w:val="right" w:pos="8838" w:leader="none"/>
      </w:tabs>
      <w:spacing w:lineRule="auto" w:line="240" w:before="0" w:after="0"/>
    </w:pPr>
    <w:rPr/>
  </w:style>
  <w:style w:type="paragraph" w:styleId="ListParagraph">
    <w:name w:val="List Paragraph"/>
    <w:basedOn w:val="Normal"/>
    <w:uiPriority w:val="34"/>
    <w:qFormat/>
    <w:rsid w:val="00f55ad2"/>
    <w:pPr>
      <w:spacing w:before="0" w:after="200"/>
      <w:ind w:left="720" w:hanging="0"/>
      <w:contextualSpacing/>
    </w:pPr>
    <w:rPr/>
  </w:style>
  <w:style w:type="paragraph" w:styleId="BalloonText">
    <w:name w:val="Balloon Text"/>
    <w:basedOn w:val="Normal"/>
    <w:link w:val="TextodegloboCar"/>
    <w:uiPriority w:val="99"/>
    <w:semiHidden/>
    <w:unhideWhenUsed/>
    <w:qFormat/>
    <w:rsid w:val="00da782f"/>
    <w:pPr>
      <w:spacing w:lineRule="auto" w:line="240" w:before="0" w:after="0"/>
    </w:pPr>
    <w:rPr>
      <w:rFonts w:ascii="Segoe UI" w:hAnsi="Segoe UI" w:cs="Segoe UI"/>
      <w:sz w:val="18"/>
      <w:szCs w:val="18"/>
    </w:rPr>
  </w:style>
  <w:style w:type="paragraph" w:styleId="BodyText3">
    <w:name w:val="Body Text 3"/>
    <w:basedOn w:val="Normal"/>
    <w:link w:val="Textoindependiente3Car"/>
    <w:qFormat/>
    <w:rsid w:val="00ec4cb7"/>
    <w:pPr>
      <w:spacing w:lineRule="auto" w:line="240" w:before="0" w:after="0"/>
      <w:jc w:val="both"/>
    </w:pPr>
    <w:rPr>
      <w:rFonts w:ascii="Rockwell" w:hAnsi="Rockwell" w:eastAsia="Times New Roman" w:cs="Times New Roman"/>
      <w:color w:val="FF0000"/>
      <w:sz w:val="24"/>
      <w:szCs w:val="20"/>
      <w:lang w:val="es-ES" w:eastAsia="es-ES"/>
    </w:rPr>
  </w:style>
  <w:style w:type="paragraph" w:styleId="Contenidodelmarco" w:customStyle="1">
    <w:name w:val="Contenido del marco"/>
    <w:basedOn w:val="Normal"/>
    <w:qFormat/>
    <w:pPr/>
    <w:rPr/>
  </w:style>
  <w:style w:type="numbering" w:styleId="NoList" w:default="1">
    <w:name w:val="No List"/>
    <w:uiPriority w:val="99"/>
    <w:semiHidden/>
    <w:unhideWhenUsed/>
    <w:qFormat/>
  </w:style>
  <w:style w:type="numbering" w:styleId="WW8Num2">
    <w:name w:val="WW8Num2"/>
    <w:qFormat/>
  </w:style>
  <w:style w:type="numbering" w:styleId="WW8Num3">
    <w:name w:val="WW8Num3"/>
    <w:qFormat/>
  </w:style>
  <w:style w:type="numbering" w:styleId="WW8Num4">
    <w:name w:val="WW8Num4"/>
    <w:qFormat/>
  </w:style>
  <w:style w:type="table" w:default="1" w:styleId="Tablanormal">
    <w:name w:val="Normal Table"/>
    <w:uiPriority w:val="99"/>
    <w:semiHidden/>
    <w:unhideWhenUsed/>
    <w:tblPr>
      <w:tblCellMar>
        <w:top w:w="0" w:type="dxa"/>
        <w:left w:w="108" w:type="dxa"/>
        <w:bottom w:w="0" w:type="dxa"/>
        <w:right w:w="108" w:type="dxa"/>
      </w:tblCellMar>
    </w:tblPr>
  </w:style>
  <w:style w:type="table" w:styleId="Tablaconcuadrcula">
    <w:name w:val="Table Grid"/>
    <w:basedOn w:val="Tablanormal"/>
    <w:uiPriority w:val="59"/>
    <w:rsid w:val="00f55ad2"/>
    <w:rPr>
      <w:lang w:val="es-A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compras@lavallemendoza.gob.ar" TargetMode="External"/><Relationship Id="rId3" Type="http://schemas.openxmlformats.org/officeDocument/2006/relationships/hyperlink" Target="mailto:compras@lavallemendoza.gob.ar" TargetMode="Externa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xmlns:r="http://schemas.openxmlformats.org/officeDocument/2006/relationships" name="Tema de 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903</TotalTime>
  <Application>LibreOffice/7.3.4.2$Windows_X86_64 LibreOffice_project/728fec16bd5f605073805c3c9e7c4212a0120dc5</Application>
  <AppVersion>15.0000</AppVersion>
  <Pages>5</Pages>
  <Words>1314</Words>
  <Characters>7069</Characters>
  <CharactersWithSpaces>8361</CharactersWithSpaces>
  <Paragraphs>62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2019-05-31T12:25:00Z</dcterms:created>
  <dc:creator>oficina compras</dc:creator>
  <dc:description/>
  <dc:language>es-AR</dc:language>
  <cp:lastModifiedBy/>
  <cp:lastPrinted>2026-06-09T12:05:44Z</cp:lastPrinted>
  <dcterms:modified xsi:type="dcterms:W3CDTF">2026-06-09T12:05:27Z</dcterms:modified>
  <cp:revision>53</cp:revision>
  <dc:subject/>
  <dc:title/>
</cp:coreProperties>
</file>

<file path=docProps/custom.xml><?xml version="1.0" encoding="utf-8"?>
<Properties xmlns="http://schemas.openxmlformats.org/officeDocument/2006/custom-properties" xmlns:vt="http://schemas.openxmlformats.org/officeDocument/2006/docPropsVTypes"/>
</file>